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3FED59" w14:textId="77777777" w:rsidR="00372CF2" w:rsidRDefault="00B63BB6" w:rsidP="00B63BB6">
      <w:pPr>
        <w:jc w:val="center"/>
      </w:pPr>
      <w:bookmarkStart w:id="0" w:name="_GoBack"/>
      <w:bookmarkEnd w:id="0"/>
      <w:r>
        <w:rPr>
          <w:noProof/>
          <w:lang w:eastAsia="it-IT" w:bidi="ar-SA"/>
        </w:rPr>
        <w:drawing>
          <wp:inline distT="0" distB="0" distL="0" distR="0" wp14:anchorId="35D26673" wp14:editId="63B120C4">
            <wp:extent cx="6120130" cy="897788"/>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20130" cy="897788"/>
                    </a:xfrm>
                    <a:prstGeom prst="rect">
                      <a:avLst/>
                    </a:prstGeom>
                    <a:noFill/>
                    <a:ln>
                      <a:noFill/>
                    </a:ln>
                  </pic:spPr>
                </pic:pic>
              </a:graphicData>
            </a:graphic>
          </wp:inline>
        </w:drawing>
      </w:r>
    </w:p>
    <w:p w14:paraId="3B815FA6" w14:textId="77777777" w:rsidR="00210EA7" w:rsidRDefault="00210EA7"/>
    <w:p w14:paraId="6D3F47EE" w14:textId="77777777" w:rsidR="00C15C80" w:rsidRDefault="00C15C80"/>
    <w:p w14:paraId="2FB7737E" w14:textId="77777777" w:rsidR="00C15C80" w:rsidRDefault="00C15C80" w:rsidP="00C15C80">
      <w:pPr>
        <w:jc w:val="center"/>
      </w:pPr>
      <w:r>
        <w:t>SCHEDA TECNICA PER LA PROPOSTA DI MODIFICA DEL PSR 2014-2020 REGIONE LOMBARDIA</w:t>
      </w:r>
    </w:p>
    <w:p w14:paraId="2BD67055" w14:textId="77777777" w:rsidR="00C15C80" w:rsidRDefault="00C15C80" w:rsidP="00C15C80">
      <w:pPr>
        <w:jc w:val="center"/>
      </w:pPr>
    </w:p>
    <w:tbl>
      <w:tblPr>
        <w:tblpPr w:leftFromText="141" w:rightFromText="141" w:vertAnchor="text" w:tblpX="-857" w:tblpY="1"/>
        <w:tblOverlap w:val="never"/>
        <w:tblW w:w="16304" w:type="dxa"/>
        <w:tblBorders>
          <w:top w:val="single" w:sz="2" w:space="0" w:color="000001"/>
          <w:left w:val="single" w:sz="2" w:space="0" w:color="000001"/>
          <w:bottom w:val="single" w:sz="2" w:space="0" w:color="000001"/>
          <w:right w:val="nil"/>
          <w:insideH w:val="single" w:sz="2" w:space="0" w:color="000001"/>
          <w:insideV w:val="nil"/>
        </w:tblBorders>
        <w:tblCellMar>
          <w:top w:w="55" w:type="dxa"/>
          <w:left w:w="6" w:type="dxa"/>
          <w:bottom w:w="55" w:type="dxa"/>
          <w:right w:w="55" w:type="dxa"/>
        </w:tblCellMar>
        <w:tblLook w:val="04A0" w:firstRow="1" w:lastRow="0" w:firstColumn="1" w:lastColumn="0" w:noHBand="0" w:noVBand="1"/>
      </w:tblPr>
      <w:tblGrid>
        <w:gridCol w:w="848"/>
        <w:gridCol w:w="5953"/>
        <w:gridCol w:w="4681"/>
        <w:gridCol w:w="1704"/>
        <w:gridCol w:w="1672"/>
        <w:gridCol w:w="1446"/>
      </w:tblGrid>
      <w:tr w:rsidR="002D20EC" w:rsidRPr="008C24F8" w14:paraId="0D66860D" w14:textId="77777777" w:rsidTr="00D42A8F">
        <w:trPr>
          <w:tblHeader/>
        </w:trPr>
        <w:tc>
          <w:tcPr>
            <w:tcW w:w="848" w:type="dxa"/>
            <w:tcBorders>
              <w:top w:val="single" w:sz="2" w:space="0" w:color="000001"/>
              <w:left w:val="single" w:sz="2" w:space="0" w:color="000001"/>
              <w:bottom w:val="single" w:sz="2" w:space="0" w:color="000001"/>
              <w:right w:val="nil"/>
            </w:tcBorders>
            <w:shd w:val="clear" w:color="auto" w:fill="D9D9D9" w:themeFill="background1" w:themeFillShade="D9"/>
          </w:tcPr>
          <w:p w14:paraId="5CA03243" w14:textId="77777777" w:rsidR="00372CF2" w:rsidRPr="008C24F8" w:rsidRDefault="00372CF2" w:rsidP="00E12390">
            <w:pPr>
              <w:pStyle w:val="Contenutotabella"/>
              <w:rPr>
                <w:rFonts w:asciiTheme="minorHAnsi" w:hAnsiTheme="minorHAnsi"/>
                <w:b/>
                <w:bCs/>
                <w:color w:val="auto"/>
                <w:sz w:val="20"/>
                <w:szCs w:val="20"/>
              </w:rPr>
            </w:pPr>
            <w:r>
              <w:rPr>
                <w:rFonts w:asciiTheme="minorHAnsi" w:hAnsiTheme="minorHAnsi"/>
                <w:b/>
                <w:bCs/>
                <w:color w:val="auto"/>
                <w:sz w:val="20"/>
                <w:szCs w:val="20"/>
              </w:rPr>
              <w:t>Tipo</w:t>
            </w:r>
            <w:r w:rsidRPr="008C24F8">
              <w:rPr>
                <w:rFonts w:asciiTheme="minorHAnsi" w:hAnsiTheme="minorHAnsi"/>
                <w:b/>
                <w:bCs/>
                <w:color w:val="auto"/>
                <w:sz w:val="20"/>
                <w:szCs w:val="20"/>
              </w:rPr>
              <w:t xml:space="preserve"> modifica</w:t>
            </w:r>
          </w:p>
        </w:tc>
        <w:tc>
          <w:tcPr>
            <w:tcW w:w="5953" w:type="dxa"/>
            <w:tcBorders>
              <w:top w:val="single" w:sz="2" w:space="0" w:color="000001"/>
              <w:left w:val="single" w:sz="2" w:space="0" w:color="000001"/>
              <w:bottom w:val="single" w:sz="2" w:space="0" w:color="000001"/>
              <w:right w:val="nil"/>
            </w:tcBorders>
            <w:shd w:val="clear" w:color="auto" w:fill="D9D9D9" w:themeFill="background1" w:themeFillShade="D9"/>
            <w:tcMar>
              <w:left w:w="6" w:type="dxa"/>
            </w:tcMar>
          </w:tcPr>
          <w:p w14:paraId="08B515D3" w14:textId="77777777" w:rsidR="00372CF2" w:rsidRPr="008C24F8" w:rsidRDefault="00372CF2" w:rsidP="00E12390">
            <w:pPr>
              <w:pStyle w:val="Contenutotabella"/>
              <w:rPr>
                <w:rFonts w:asciiTheme="minorHAnsi" w:hAnsiTheme="minorHAnsi"/>
                <w:b/>
                <w:bCs/>
                <w:color w:val="auto"/>
                <w:sz w:val="20"/>
                <w:szCs w:val="20"/>
              </w:rPr>
            </w:pPr>
            <w:r w:rsidRPr="008C24F8">
              <w:rPr>
                <w:rFonts w:asciiTheme="minorHAnsi" w:hAnsiTheme="minorHAnsi"/>
                <w:b/>
                <w:bCs/>
                <w:color w:val="auto"/>
                <w:sz w:val="20"/>
                <w:szCs w:val="20"/>
              </w:rPr>
              <w:t xml:space="preserve">Descrizione della modifica </w:t>
            </w:r>
          </w:p>
        </w:tc>
        <w:tc>
          <w:tcPr>
            <w:tcW w:w="4681" w:type="dxa"/>
            <w:tcBorders>
              <w:top w:val="single" w:sz="2" w:space="0" w:color="000001"/>
              <w:left w:val="single" w:sz="2" w:space="0" w:color="000001"/>
              <w:bottom w:val="single" w:sz="2" w:space="0" w:color="000001"/>
              <w:right w:val="nil"/>
            </w:tcBorders>
            <w:shd w:val="clear" w:color="auto" w:fill="D9D9D9" w:themeFill="background1" w:themeFillShade="D9"/>
            <w:tcMar>
              <w:left w:w="6" w:type="dxa"/>
            </w:tcMar>
          </w:tcPr>
          <w:p w14:paraId="2612FF32" w14:textId="77777777" w:rsidR="00372CF2" w:rsidRPr="008C24F8" w:rsidRDefault="00372CF2" w:rsidP="009A105B">
            <w:pPr>
              <w:jc w:val="both"/>
              <w:rPr>
                <w:rFonts w:asciiTheme="minorHAnsi" w:hAnsiTheme="minorHAnsi"/>
                <w:b/>
                <w:bCs/>
                <w:iCs/>
                <w:color w:val="auto"/>
                <w:sz w:val="20"/>
                <w:szCs w:val="20"/>
              </w:rPr>
            </w:pPr>
            <w:r w:rsidRPr="008C24F8">
              <w:rPr>
                <w:rFonts w:asciiTheme="minorHAnsi" w:hAnsiTheme="minorHAnsi"/>
                <w:b/>
                <w:bCs/>
                <w:iCs/>
                <w:color w:val="auto"/>
                <w:sz w:val="20"/>
                <w:szCs w:val="20"/>
              </w:rPr>
              <w:t xml:space="preserve">Motivi e / o problemi di attuazione che giustificano la modifica </w:t>
            </w:r>
          </w:p>
        </w:tc>
        <w:tc>
          <w:tcPr>
            <w:tcW w:w="1704" w:type="dxa"/>
            <w:tcBorders>
              <w:top w:val="single" w:sz="2" w:space="0" w:color="000001"/>
              <w:left w:val="single" w:sz="2" w:space="0" w:color="000001"/>
              <w:bottom w:val="single" w:sz="2" w:space="0" w:color="000001"/>
              <w:right w:val="nil"/>
            </w:tcBorders>
            <w:shd w:val="clear" w:color="auto" w:fill="D9D9D9" w:themeFill="background1" w:themeFillShade="D9"/>
            <w:tcMar>
              <w:left w:w="6" w:type="dxa"/>
            </w:tcMar>
          </w:tcPr>
          <w:p w14:paraId="41D4D5D7" w14:textId="77777777" w:rsidR="00372CF2" w:rsidRPr="008C24F8" w:rsidRDefault="00372CF2" w:rsidP="009A105B">
            <w:pPr>
              <w:jc w:val="both"/>
              <w:rPr>
                <w:rFonts w:asciiTheme="minorHAnsi" w:hAnsiTheme="minorHAnsi"/>
                <w:b/>
                <w:bCs/>
                <w:iCs/>
                <w:color w:val="auto"/>
                <w:sz w:val="20"/>
                <w:szCs w:val="20"/>
              </w:rPr>
            </w:pPr>
            <w:r w:rsidRPr="008C24F8">
              <w:rPr>
                <w:rFonts w:asciiTheme="minorHAnsi" w:hAnsiTheme="minorHAnsi"/>
                <w:b/>
                <w:bCs/>
                <w:iCs/>
                <w:color w:val="auto"/>
                <w:sz w:val="20"/>
                <w:szCs w:val="20"/>
              </w:rPr>
              <w:t>Effetti previsti della modifica</w:t>
            </w:r>
          </w:p>
        </w:tc>
        <w:tc>
          <w:tcPr>
            <w:tcW w:w="1672" w:type="dxa"/>
            <w:tcBorders>
              <w:top w:val="single" w:sz="2" w:space="0" w:color="000001"/>
              <w:left w:val="single" w:sz="2" w:space="0" w:color="000001"/>
              <w:bottom w:val="single" w:sz="2" w:space="0" w:color="000001"/>
              <w:right w:val="single" w:sz="2" w:space="0" w:color="000001"/>
            </w:tcBorders>
            <w:shd w:val="clear" w:color="auto" w:fill="D9D9D9" w:themeFill="background1" w:themeFillShade="D9"/>
            <w:tcMar>
              <w:left w:w="8" w:type="dxa"/>
            </w:tcMar>
          </w:tcPr>
          <w:p w14:paraId="1D1C672F" w14:textId="77777777" w:rsidR="00372CF2" w:rsidRPr="008C24F8" w:rsidRDefault="00372CF2" w:rsidP="009A105B">
            <w:pPr>
              <w:jc w:val="both"/>
              <w:rPr>
                <w:rFonts w:asciiTheme="minorHAnsi" w:hAnsiTheme="minorHAnsi"/>
                <w:b/>
                <w:bCs/>
                <w:iCs/>
                <w:color w:val="auto"/>
                <w:sz w:val="20"/>
                <w:szCs w:val="20"/>
              </w:rPr>
            </w:pPr>
            <w:r w:rsidRPr="008C24F8">
              <w:rPr>
                <w:rFonts w:asciiTheme="minorHAnsi" w:hAnsiTheme="minorHAnsi"/>
                <w:b/>
                <w:bCs/>
                <w:iCs/>
                <w:color w:val="auto"/>
                <w:sz w:val="20"/>
                <w:szCs w:val="20"/>
              </w:rPr>
              <w:t>Impatto della modifica sugli indicatori</w:t>
            </w:r>
          </w:p>
        </w:tc>
        <w:tc>
          <w:tcPr>
            <w:tcW w:w="1446" w:type="dxa"/>
            <w:tcBorders>
              <w:top w:val="single" w:sz="2" w:space="0" w:color="000001"/>
              <w:left w:val="single" w:sz="2" w:space="0" w:color="000001"/>
              <w:bottom w:val="single" w:sz="2" w:space="0" w:color="000001"/>
              <w:right w:val="single" w:sz="2" w:space="0" w:color="000001"/>
            </w:tcBorders>
            <w:shd w:val="clear" w:color="auto" w:fill="D9D9D9" w:themeFill="background1" w:themeFillShade="D9"/>
            <w:tcMar>
              <w:left w:w="6" w:type="dxa"/>
            </w:tcMar>
          </w:tcPr>
          <w:p w14:paraId="65AF33E3" w14:textId="77777777" w:rsidR="00372CF2" w:rsidRPr="008C24F8" w:rsidRDefault="00372CF2" w:rsidP="009A105B">
            <w:pPr>
              <w:jc w:val="both"/>
              <w:rPr>
                <w:rFonts w:asciiTheme="minorHAnsi" w:hAnsiTheme="minorHAnsi"/>
                <w:b/>
                <w:bCs/>
                <w:iCs/>
                <w:color w:val="auto"/>
                <w:sz w:val="20"/>
                <w:szCs w:val="20"/>
              </w:rPr>
            </w:pPr>
            <w:r w:rsidRPr="008C24F8">
              <w:rPr>
                <w:rFonts w:asciiTheme="minorHAnsi" w:hAnsiTheme="minorHAnsi"/>
                <w:b/>
                <w:bCs/>
                <w:iCs/>
                <w:color w:val="auto"/>
                <w:sz w:val="20"/>
                <w:szCs w:val="20"/>
              </w:rPr>
              <w:t>Rapporto tra la modifica e l'</w:t>
            </w:r>
            <w:proofErr w:type="spellStart"/>
            <w:r w:rsidRPr="008C24F8">
              <w:rPr>
                <w:rFonts w:asciiTheme="minorHAnsi" w:hAnsiTheme="minorHAnsi"/>
                <w:b/>
                <w:bCs/>
                <w:iCs/>
                <w:color w:val="auto"/>
                <w:sz w:val="20"/>
                <w:szCs w:val="20"/>
              </w:rPr>
              <w:t>AdP</w:t>
            </w:r>
            <w:proofErr w:type="spellEnd"/>
          </w:p>
        </w:tc>
      </w:tr>
      <w:tr w:rsidR="008B3855" w:rsidRPr="008C24F8" w14:paraId="4D696F56" w14:textId="77777777" w:rsidTr="00120DB4">
        <w:tc>
          <w:tcPr>
            <w:tcW w:w="16304" w:type="dxa"/>
            <w:gridSpan w:val="6"/>
            <w:tcBorders>
              <w:top w:val="single" w:sz="2" w:space="0" w:color="000001"/>
              <w:left w:val="single" w:sz="2" w:space="0" w:color="000001"/>
              <w:bottom w:val="single" w:sz="2" w:space="0" w:color="000001"/>
              <w:right w:val="single" w:sz="2" w:space="0" w:color="000001"/>
            </w:tcBorders>
            <w:shd w:val="clear" w:color="auto" w:fill="FFFFFF"/>
          </w:tcPr>
          <w:p w14:paraId="31315A7E" w14:textId="77777777" w:rsidR="008B3855" w:rsidRPr="00A84FB4" w:rsidDel="00CE7303" w:rsidRDefault="008B3855" w:rsidP="009A105B">
            <w:pPr>
              <w:jc w:val="both"/>
              <w:rPr>
                <w:rFonts w:asciiTheme="minorHAnsi" w:hAnsiTheme="minorHAnsi"/>
                <w:b/>
                <w:color w:val="auto"/>
                <w:sz w:val="28"/>
                <w:szCs w:val="28"/>
              </w:rPr>
            </w:pPr>
            <w:r w:rsidRPr="00A84FB4">
              <w:rPr>
                <w:rFonts w:asciiTheme="minorHAnsi" w:hAnsiTheme="minorHAnsi"/>
                <w:b/>
                <w:color w:val="auto"/>
                <w:sz w:val="28"/>
                <w:szCs w:val="28"/>
              </w:rPr>
              <w:t>Modifiche Misure e Operazioni del Programma</w:t>
            </w:r>
          </w:p>
        </w:tc>
      </w:tr>
      <w:tr w:rsidR="008B3855" w:rsidRPr="008C24F8" w14:paraId="060AC8D7" w14:textId="77777777" w:rsidTr="00120DB4">
        <w:tc>
          <w:tcPr>
            <w:tcW w:w="848" w:type="dxa"/>
            <w:tcBorders>
              <w:top w:val="single" w:sz="2" w:space="0" w:color="000001"/>
              <w:left w:val="single" w:sz="2" w:space="0" w:color="000001"/>
              <w:bottom w:val="single" w:sz="2" w:space="0" w:color="000001"/>
              <w:right w:val="nil"/>
            </w:tcBorders>
            <w:shd w:val="clear" w:color="auto" w:fill="FFFFFF"/>
          </w:tcPr>
          <w:p w14:paraId="60E10EBB" w14:textId="77777777" w:rsidR="008B3855" w:rsidRDefault="008B3855" w:rsidP="00E12390">
            <w:pPr>
              <w:pStyle w:val="Contenutotabella"/>
              <w:jc w:val="both"/>
              <w:rPr>
                <w:rFonts w:asciiTheme="minorHAnsi" w:hAnsiTheme="minorHAnsi"/>
                <w:b/>
                <w:bCs/>
                <w:color w:val="auto"/>
                <w:sz w:val="20"/>
                <w:szCs w:val="20"/>
              </w:rPr>
            </w:pPr>
            <w:r>
              <w:rPr>
                <w:rFonts w:asciiTheme="minorHAnsi" w:hAnsiTheme="minorHAnsi"/>
                <w:b/>
                <w:bCs/>
                <w:color w:val="auto"/>
                <w:sz w:val="20"/>
                <w:szCs w:val="20"/>
              </w:rPr>
              <w:t>11.b</w:t>
            </w:r>
          </w:p>
        </w:tc>
        <w:tc>
          <w:tcPr>
            <w:tcW w:w="5953"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34FF09A1" w14:textId="77777777" w:rsidR="008B3855" w:rsidRDefault="00B175C7" w:rsidP="00E12390">
            <w:pPr>
              <w:jc w:val="both"/>
              <w:rPr>
                <w:rFonts w:asciiTheme="minorHAnsi" w:hAnsiTheme="minorHAnsi"/>
                <w:b/>
                <w:color w:val="auto"/>
                <w:sz w:val="20"/>
                <w:szCs w:val="20"/>
                <w:shd w:val="clear" w:color="auto" w:fill="FFFFFF"/>
              </w:rPr>
            </w:pPr>
            <w:r>
              <w:rPr>
                <w:rFonts w:asciiTheme="minorHAnsi" w:hAnsiTheme="minorHAnsi"/>
                <w:b/>
                <w:color w:val="auto"/>
                <w:sz w:val="20"/>
                <w:szCs w:val="20"/>
                <w:shd w:val="clear" w:color="auto" w:fill="FFFFFF"/>
              </w:rPr>
              <w:t xml:space="preserve">Capitolo </w:t>
            </w:r>
            <w:r w:rsidRPr="00B175C7">
              <w:rPr>
                <w:rFonts w:asciiTheme="minorHAnsi" w:hAnsiTheme="minorHAnsi"/>
                <w:b/>
                <w:color w:val="auto"/>
                <w:sz w:val="20"/>
                <w:szCs w:val="20"/>
                <w:shd w:val="clear" w:color="auto" w:fill="FFFFFF"/>
              </w:rPr>
              <w:t xml:space="preserve">8. </w:t>
            </w:r>
            <w:r>
              <w:rPr>
                <w:rFonts w:asciiTheme="minorHAnsi" w:hAnsiTheme="minorHAnsi"/>
                <w:b/>
                <w:color w:val="auto"/>
                <w:sz w:val="20"/>
                <w:szCs w:val="20"/>
                <w:shd w:val="clear" w:color="auto" w:fill="FFFFFF"/>
              </w:rPr>
              <w:t>D</w:t>
            </w:r>
            <w:r w:rsidRPr="00B175C7">
              <w:rPr>
                <w:rFonts w:asciiTheme="minorHAnsi" w:hAnsiTheme="minorHAnsi"/>
                <w:b/>
                <w:color w:val="auto"/>
                <w:sz w:val="20"/>
                <w:szCs w:val="20"/>
                <w:shd w:val="clear" w:color="auto" w:fill="FFFFFF"/>
              </w:rPr>
              <w:t>escrizione delle misure selezionate</w:t>
            </w:r>
          </w:p>
          <w:p w14:paraId="37213C55" w14:textId="77777777" w:rsidR="00B175C7" w:rsidRDefault="00C929C6" w:rsidP="00E12390">
            <w:pPr>
              <w:jc w:val="both"/>
              <w:rPr>
                <w:rFonts w:asciiTheme="minorHAnsi" w:hAnsiTheme="minorHAnsi"/>
                <w:b/>
                <w:color w:val="auto"/>
                <w:sz w:val="20"/>
                <w:szCs w:val="20"/>
                <w:shd w:val="clear" w:color="auto" w:fill="FFFFFF"/>
              </w:rPr>
            </w:pPr>
            <w:r>
              <w:rPr>
                <w:rFonts w:asciiTheme="minorHAnsi" w:hAnsiTheme="minorHAnsi"/>
                <w:b/>
                <w:color w:val="auto"/>
                <w:sz w:val="20"/>
                <w:szCs w:val="20"/>
                <w:shd w:val="clear" w:color="auto" w:fill="FFFFFF"/>
              </w:rPr>
              <w:t>Paragrafo</w:t>
            </w:r>
            <w:r w:rsidR="00B175C7">
              <w:rPr>
                <w:rFonts w:asciiTheme="minorHAnsi" w:hAnsiTheme="minorHAnsi"/>
                <w:b/>
                <w:color w:val="auto"/>
                <w:sz w:val="20"/>
                <w:szCs w:val="20"/>
                <w:shd w:val="clear" w:color="auto" w:fill="FFFFFF"/>
              </w:rPr>
              <w:t xml:space="preserve"> 8.2 Descrizione per Misura</w:t>
            </w:r>
          </w:p>
          <w:p w14:paraId="1114505D" w14:textId="77777777" w:rsidR="00B175C7" w:rsidRDefault="00C929C6" w:rsidP="00E12390">
            <w:pPr>
              <w:jc w:val="both"/>
              <w:rPr>
                <w:rFonts w:asciiTheme="minorHAnsi" w:hAnsiTheme="minorHAnsi"/>
                <w:b/>
                <w:color w:val="auto"/>
                <w:sz w:val="20"/>
                <w:szCs w:val="20"/>
                <w:shd w:val="clear" w:color="auto" w:fill="FFFFFF"/>
              </w:rPr>
            </w:pPr>
            <w:r>
              <w:rPr>
                <w:rFonts w:asciiTheme="minorHAnsi" w:hAnsiTheme="minorHAnsi"/>
                <w:b/>
                <w:color w:val="auto"/>
                <w:sz w:val="20"/>
                <w:szCs w:val="20"/>
                <w:shd w:val="clear" w:color="auto" w:fill="FFFFFF"/>
              </w:rPr>
              <w:t>Paragrafo</w:t>
            </w:r>
            <w:r w:rsidR="00B175C7">
              <w:rPr>
                <w:rFonts w:asciiTheme="minorHAnsi" w:hAnsiTheme="minorHAnsi"/>
                <w:b/>
                <w:color w:val="auto"/>
                <w:sz w:val="20"/>
                <w:szCs w:val="20"/>
                <w:shd w:val="clear" w:color="auto" w:fill="FFFFFF"/>
              </w:rPr>
              <w:t xml:space="preserve"> </w:t>
            </w:r>
            <w:r w:rsidR="00B175C7" w:rsidRPr="00B175C7">
              <w:rPr>
                <w:rFonts w:asciiTheme="minorHAnsi" w:hAnsiTheme="minorHAnsi"/>
                <w:b/>
                <w:color w:val="auto"/>
                <w:sz w:val="20"/>
                <w:szCs w:val="20"/>
                <w:shd w:val="clear" w:color="auto" w:fill="FFFFFF"/>
              </w:rPr>
              <w:t>8.2.12 M13 - Indennità a favore delle zone soggette a vincoli naturali o ad altri vincoli specifici (art. 31)</w:t>
            </w:r>
          </w:p>
          <w:p w14:paraId="535BBE33" w14:textId="77777777" w:rsidR="00B175C7" w:rsidRDefault="00C929C6" w:rsidP="00E12390">
            <w:pPr>
              <w:jc w:val="both"/>
              <w:rPr>
                <w:rFonts w:asciiTheme="minorHAnsi" w:hAnsiTheme="minorHAnsi"/>
                <w:b/>
                <w:color w:val="auto"/>
                <w:sz w:val="20"/>
                <w:szCs w:val="20"/>
                <w:shd w:val="clear" w:color="auto" w:fill="FFFFFF"/>
              </w:rPr>
            </w:pPr>
            <w:r>
              <w:rPr>
                <w:rFonts w:asciiTheme="minorHAnsi" w:hAnsiTheme="minorHAnsi"/>
                <w:b/>
                <w:color w:val="auto"/>
                <w:sz w:val="20"/>
                <w:szCs w:val="20"/>
                <w:shd w:val="clear" w:color="auto" w:fill="FFFFFF"/>
              </w:rPr>
              <w:t>Paragrafo</w:t>
            </w:r>
            <w:r w:rsidR="00B175C7">
              <w:rPr>
                <w:rFonts w:asciiTheme="minorHAnsi" w:hAnsiTheme="minorHAnsi"/>
                <w:b/>
                <w:color w:val="auto"/>
                <w:sz w:val="20"/>
                <w:szCs w:val="20"/>
                <w:shd w:val="clear" w:color="auto" w:fill="FFFFFF"/>
              </w:rPr>
              <w:t xml:space="preserve"> </w:t>
            </w:r>
            <w:r w:rsidR="00B175C7" w:rsidRPr="00B175C7">
              <w:rPr>
                <w:rFonts w:asciiTheme="minorHAnsi" w:hAnsiTheme="minorHAnsi"/>
                <w:b/>
                <w:color w:val="auto"/>
                <w:sz w:val="20"/>
                <w:szCs w:val="20"/>
                <w:shd w:val="clear" w:color="auto" w:fill="FFFFFF"/>
              </w:rPr>
              <w:t>8.2.12.3.1.</w:t>
            </w:r>
            <w:r w:rsidR="001D49F5">
              <w:rPr>
                <w:rFonts w:asciiTheme="minorHAnsi" w:hAnsiTheme="minorHAnsi"/>
                <w:b/>
                <w:color w:val="auto"/>
                <w:sz w:val="20"/>
                <w:szCs w:val="20"/>
                <w:shd w:val="clear" w:color="auto" w:fill="FFFFFF"/>
              </w:rPr>
              <w:t>8</w:t>
            </w:r>
            <w:r w:rsidR="00B175C7" w:rsidRPr="00B175C7">
              <w:rPr>
                <w:rFonts w:asciiTheme="minorHAnsi" w:hAnsiTheme="minorHAnsi"/>
                <w:b/>
                <w:color w:val="auto"/>
                <w:sz w:val="20"/>
                <w:szCs w:val="20"/>
                <w:shd w:val="clear" w:color="auto" w:fill="FFFFFF"/>
              </w:rPr>
              <w:t xml:space="preserve"> Importi e aliquote di sostegno (applicabili)</w:t>
            </w:r>
          </w:p>
          <w:p w14:paraId="019C9022" w14:textId="77777777" w:rsidR="00E75617" w:rsidRDefault="00E75617" w:rsidP="00E12390">
            <w:pPr>
              <w:jc w:val="both"/>
              <w:rPr>
                <w:rFonts w:asciiTheme="minorHAnsi" w:hAnsiTheme="minorHAnsi"/>
                <w:b/>
                <w:color w:val="auto"/>
                <w:sz w:val="20"/>
                <w:szCs w:val="20"/>
                <w:shd w:val="clear" w:color="auto" w:fill="FFFFFF"/>
              </w:rPr>
            </w:pPr>
          </w:p>
          <w:p w14:paraId="6E522783" w14:textId="77777777" w:rsidR="00E75617" w:rsidRPr="00E75617" w:rsidRDefault="00E75617" w:rsidP="00E12390">
            <w:pPr>
              <w:jc w:val="both"/>
              <w:rPr>
                <w:rFonts w:asciiTheme="minorHAnsi" w:hAnsiTheme="minorHAnsi"/>
                <w:b/>
                <w:color w:val="auto"/>
                <w:sz w:val="20"/>
                <w:szCs w:val="20"/>
                <w:u w:val="single"/>
                <w:shd w:val="clear" w:color="auto" w:fill="FFFFFF"/>
              </w:rPr>
            </w:pPr>
            <w:r w:rsidRPr="00E75617">
              <w:rPr>
                <w:rFonts w:asciiTheme="minorHAnsi" w:hAnsiTheme="minorHAnsi"/>
                <w:b/>
                <w:color w:val="auto"/>
                <w:sz w:val="20"/>
                <w:szCs w:val="20"/>
                <w:u w:val="single"/>
                <w:shd w:val="clear" w:color="auto" w:fill="FFFFFF"/>
              </w:rPr>
              <w:t>Testo inserito</w:t>
            </w:r>
          </w:p>
          <w:p w14:paraId="60C2D183" w14:textId="77777777" w:rsidR="005F7F00" w:rsidRDefault="005F7F00" w:rsidP="005F7F00">
            <w:pPr>
              <w:jc w:val="both"/>
              <w:rPr>
                <w:rFonts w:asciiTheme="minorHAnsi" w:hAnsiTheme="minorHAnsi"/>
                <w:color w:val="auto"/>
                <w:sz w:val="20"/>
                <w:szCs w:val="20"/>
                <w:shd w:val="clear" w:color="auto" w:fill="FFFFFF"/>
              </w:rPr>
            </w:pPr>
          </w:p>
          <w:p w14:paraId="2CEC7CD0" w14:textId="77777777" w:rsidR="00E75617" w:rsidRPr="00E75617" w:rsidRDefault="00E75617" w:rsidP="00E75617">
            <w:pPr>
              <w:jc w:val="both"/>
              <w:rPr>
                <w:rFonts w:asciiTheme="minorHAnsi" w:hAnsiTheme="minorHAnsi"/>
                <w:color w:val="auto"/>
                <w:sz w:val="20"/>
                <w:szCs w:val="20"/>
                <w:shd w:val="clear" w:color="auto" w:fill="FFFFFF"/>
              </w:rPr>
            </w:pPr>
            <w:r w:rsidRPr="00E75617">
              <w:rPr>
                <w:rFonts w:asciiTheme="minorHAnsi" w:hAnsiTheme="minorHAnsi"/>
                <w:color w:val="auto"/>
                <w:sz w:val="20"/>
                <w:szCs w:val="20"/>
                <w:shd w:val="clear" w:color="auto" w:fill="FFFFFF"/>
              </w:rPr>
              <w:t>Per quanto riguarda la frutticoltura specializzata su terrazzamenti, i valori calcolati per le classi di superficie tra 0 e 5 ettari, pari a 653 €/ha e tra 5 e 10 ettari, pari a 581 €/ha, superano il limite massimo di 450 €/ha previsto dall’allegato II del Reg. UE n. 1305/2013.</w:t>
            </w:r>
          </w:p>
          <w:p w14:paraId="077CF276" w14:textId="77777777" w:rsidR="00E75617" w:rsidRPr="00E75617" w:rsidRDefault="00E75617" w:rsidP="00E75617">
            <w:pPr>
              <w:jc w:val="both"/>
              <w:rPr>
                <w:rFonts w:asciiTheme="minorHAnsi" w:hAnsiTheme="minorHAnsi"/>
                <w:color w:val="auto"/>
                <w:sz w:val="20"/>
                <w:szCs w:val="20"/>
                <w:shd w:val="clear" w:color="auto" w:fill="FFFFFF"/>
              </w:rPr>
            </w:pPr>
            <w:r w:rsidRPr="00E75617">
              <w:rPr>
                <w:rFonts w:asciiTheme="minorHAnsi" w:hAnsiTheme="minorHAnsi"/>
                <w:color w:val="auto"/>
                <w:sz w:val="20"/>
                <w:szCs w:val="20"/>
                <w:shd w:val="clear" w:color="auto" w:fill="FFFFFF"/>
              </w:rPr>
              <w:t>Tali valori sono mantenuti oltre il limite in base alla deroga consenti</w:t>
            </w:r>
            <w:r w:rsidR="009A105B">
              <w:rPr>
                <w:rFonts w:asciiTheme="minorHAnsi" w:hAnsiTheme="minorHAnsi"/>
                <w:color w:val="auto"/>
                <w:sz w:val="20"/>
                <w:szCs w:val="20"/>
                <w:shd w:val="clear" w:color="auto" w:fill="FFFFFF"/>
              </w:rPr>
              <w:t>ta dal sopra citato allegato II,</w:t>
            </w:r>
            <w:r w:rsidRPr="00E75617">
              <w:rPr>
                <w:rFonts w:asciiTheme="minorHAnsi" w:hAnsiTheme="minorHAnsi"/>
                <w:color w:val="auto"/>
                <w:sz w:val="20"/>
                <w:szCs w:val="20"/>
                <w:shd w:val="clear" w:color="auto" w:fill="FFFFFF"/>
              </w:rPr>
              <w:t xml:space="preserve"> in quanto i frutteti e i vigneti coltivati su terrazzamenti rappresentano una forma di coltivazione particolarmente gravosa, caratterizzata anche da lavori che possono essere svolti solo manualmente e in condizioni particolarmente difficili, quindi con costi di manodopera, produzione e trasporto decisamente superiori rispetto ai frutteti e ai vigneti coltivati in altre aree montane</w:t>
            </w:r>
            <w:r w:rsidR="009A105B">
              <w:rPr>
                <w:rFonts w:asciiTheme="minorHAnsi" w:hAnsiTheme="minorHAnsi"/>
                <w:color w:val="auto"/>
                <w:sz w:val="20"/>
                <w:szCs w:val="20"/>
                <w:shd w:val="clear" w:color="auto" w:fill="FFFFFF"/>
              </w:rPr>
              <w:t>. In tal modo:</w:t>
            </w:r>
          </w:p>
          <w:p w14:paraId="5F6E4380" w14:textId="77777777" w:rsidR="00E75617" w:rsidRPr="00E75617" w:rsidRDefault="00E75617" w:rsidP="00E75617">
            <w:pPr>
              <w:pStyle w:val="Paragrafoelenco"/>
              <w:numPr>
                <w:ilvl w:val="0"/>
                <w:numId w:val="22"/>
              </w:numPr>
              <w:jc w:val="both"/>
              <w:rPr>
                <w:sz w:val="20"/>
                <w:szCs w:val="20"/>
                <w:shd w:val="clear" w:color="auto" w:fill="FFFFFF"/>
              </w:rPr>
            </w:pPr>
            <w:r w:rsidRPr="00E75617">
              <w:rPr>
                <w:sz w:val="20"/>
                <w:szCs w:val="20"/>
                <w:shd w:val="clear" w:color="auto" w:fill="FFFFFF"/>
              </w:rPr>
              <w:t xml:space="preserve">Si sostiene il mantenimento di questa forma di coltivazione, meno produttiva e redditizia di quella di altre aree montane, </w:t>
            </w:r>
            <w:r w:rsidRPr="00E75617">
              <w:rPr>
                <w:sz w:val="20"/>
                <w:szCs w:val="20"/>
                <w:shd w:val="clear" w:color="auto" w:fill="FFFFFF"/>
              </w:rPr>
              <w:lastRenderedPageBreak/>
              <w:t>altrimenti destinata a ridursi sempre di più, in assenza di ritorni economici adeguati per le imprese agricole, con il conseguente abbandono e degrado di parti del territorio modellate nei secoli scorsi e conservate nel tempo, ormai parti integranti del paesaggio montano di alcune aree;</w:t>
            </w:r>
          </w:p>
          <w:p w14:paraId="24206CE7" w14:textId="77777777" w:rsidR="00E75617" w:rsidRPr="00E75617" w:rsidRDefault="00E75617" w:rsidP="00E75617">
            <w:pPr>
              <w:pStyle w:val="Paragrafoelenco"/>
              <w:numPr>
                <w:ilvl w:val="0"/>
                <w:numId w:val="22"/>
              </w:numPr>
              <w:jc w:val="both"/>
              <w:rPr>
                <w:sz w:val="20"/>
                <w:szCs w:val="20"/>
                <w:shd w:val="clear" w:color="auto" w:fill="FFFFFF"/>
              </w:rPr>
            </w:pPr>
            <w:r w:rsidRPr="00E75617">
              <w:rPr>
                <w:sz w:val="20"/>
                <w:szCs w:val="20"/>
                <w:shd w:val="clear" w:color="auto" w:fill="FFFFFF"/>
              </w:rPr>
              <w:t>Si contribuisce alla salvaguardia del territorio e del paesaggio, perché incentivando la coltivazione di questi terrazzamenti si favorisce il mantenimento di manufatti (muretti a secco, sentieri) e conformazioni del terreno (terrazzamenti, versanti), importanti per la difesa e l’assetto idrogeologico dei territori interessati, caratterizzati da versanti ripidi ed irregolari, difendendoli da eventi franosi, alluvionali ed altri fenomeni naturali.</w:t>
            </w:r>
          </w:p>
          <w:p w14:paraId="0AFEA6DF" w14:textId="77777777" w:rsidR="00E75617" w:rsidRDefault="00E75617" w:rsidP="00E75617">
            <w:pPr>
              <w:jc w:val="both"/>
              <w:rPr>
                <w:rFonts w:asciiTheme="minorHAnsi" w:hAnsiTheme="minorHAnsi"/>
                <w:color w:val="auto"/>
                <w:sz w:val="20"/>
                <w:szCs w:val="20"/>
                <w:shd w:val="clear" w:color="auto" w:fill="FFFFFF"/>
              </w:rPr>
            </w:pPr>
          </w:p>
          <w:p w14:paraId="66548164" w14:textId="77777777" w:rsidR="00DC6CE6" w:rsidRPr="00DC6CE6" w:rsidRDefault="00DC6CE6" w:rsidP="005F7F00">
            <w:pPr>
              <w:jc w:val="both"/>
              <w:rPr>
                <w:rFonts w:asciiTheme="minorHAnsi" w:hAnsiTheme="minorHAnsi"/>
                <w:b/>
                <w:color w:val="auto"/>
                <w:sz w:val="20"/>
                <w:szCs w:val="20"/>
                <w:u w:val="single"/>
                <w:shd w:val="clear" w:color="auto" w:fill="FFFFFF"/>
              </w:rPr>
            </w:pPr>
            <w:r w:rsidRPr="00DC6CE6">
              <w:rPr>
                <w:rFonts w:asciiTheme="minorHAnsi" w:hAnsiTheme="minorHAnsi"/>
                <w:b/>
                <w:color w:val="auto"/>
                <w:sz w:val="20"/>
                <w:szCs w:val="20"/>
                <w:u w:val="single"/>
                <w:shd w:val="clear" w:color="auto" w:fill="FFFFFF"/>
              </w:rPr>
              <w:t>Valori precedenti dei premi</w:t>
            </w:r>
          </w:p>
          <w:p w14:paraId="52F4C500" w14:textId="77777777" w:rsidR="00DC6CE6" w:rsidRDefault="00DC6CE6" w:rsidP="005F7F00">
            <w:pPr>
              <w:jc w:val="both"/>
              <w:rPr>
                <w:rFonts w:asciiTheme="minorHAnsi" w:hAnsiTheme="minorHAnsi"/>
                <w:color w:val="auto"/>
                <w:sz w:val="20"/>
                <w:szCs w:val="20"/>
                <w:shd w:val="clear" w:color="auto" w:fill="FFFFFF"/>
              </w:rPr>
            </w:pPr>
          </w:p>
          <w:p w14:paraId="13366B84" w14:textId="77777777" w:rsidR="00DC6CE6" w:rsidRPr="00DC6CE6" w:rsidRDefault="00DC6CE6" w:rsidP="00DC6CE6">
            <w:pPr>
              <w:spacing w:after="120"/>
              <w:rPr>
                <w:rFonts w:eastAsia="Times New Roman" w:cs="Times New Roman"/>
                <w:b/>
                <w:bCs/>
                <w:color w:val="000000"/>
                <w:sz w:val="18"/>
                <w:szCs w:val="18"/>
                <w:lang w:eastAsia="it-IT"/>
              </w:rPr>
            </w:pPr>
            <w:r>
              <w:rPr>
                <w:rFonts w:eastAsia="Times New Roman" w:cs="Times New Roman"/>
                <w:b/>
                <w:bCs/>
                <w:color w:val="000000"/>
                <w:sz w:val="16"/>
                <w:szCs w:val="16"/>
                <w:lang w:eastAsia="it-IT"/>
              </w:rPr>
              <w:t xml:space="preserve">       </w:t>
            </w:r>
            <w:r w:rsidRPr="00896850">
              <w:rPr>
                <w:rFonts w:eastAsia="Times New Roman" w:cs="Times New Roman"/>
                <w:b/>
                <w:bCs/>
                <w:color w:val="000000"/>
                <w:sz w:val="18"/>
                <w:szCs w:val="18"/>
                <w:lang w:eastAsia="it-IT"/>
              </w:rPr>
              <w:t>Sistema agricolo zootecnico estensivo. Pascoli</w:t>
            </w:r>
          </w:p>
          <w:tbl>
            <w:tblPr>
              <w:tblStyle w:val="Grigliatabella"/>
              <w:tblpPr w:leftFromText="141" w:rightFromText="141" w:vertAnchor="text" w:tblpY="1"/>
              <w:tblOverlap w:val="never"/>
              <w:tblW w:w="0" w:type="auto"/>
              <w:tblLook w:val="04A0" w:firstRow="1" w:lastRow="0" w:firstColumn="1" w:lastColumn="0" w:noHBand="0" w:noVBand="1"/>
            </w:tblPr>
            <w:tblGrid>
              <w:gridCol w:w="1555"/>
              <w:gridCol w:w="850"/>
              <w:gridCol w:w="992"/>
              <w:gridCol w:w="709"/>
            </w:tblGrid>
            <w:tr w:rsidR="00DC6CE6" w:rsidRPr="004C2C03" w14:paraId="7A991B9F" w14:textId="77777777" w:rsidTr="00120DB4">
              <w:tc>
                <w:tcPr>
                  <w:tcW w:w="1555" w:type="dxa"/>
                  <w:shd w:val="clear" w:color="auto" w:fill="006600"/>
                </w:tcPr>
                <w:p w14:paraId="29C76A9D" w14:textId="77777777" w:rsidR="00DC6CE6" w:rsidRPr="004C2C03" w:rsidRDefault="00DC6CE6" w:rsidP="00DC6CE6">
                  <w:pPr>
                    <w:rPr>
                      <w:color w:val="FFFFFF" w:themeColor="background1"/>
                      <w:sz w:val="16"/>
                      <w:szCs w:val="16"/>
                    </w:rPr>
                  </w:pPr>
                  <w:r w:rsidRPr="004C2C03">
                    <w:rPr>
                      <w:color w:val="FFFFFF" w:themeColor="background1"/>
                      <w:sz w:val="16"/>
                      <w:szCs w:val="16"/>
                    </w:rPr>
                    <w:t>Pascolo</w:t>
                  </w:r>
                </w:p>
              </w:tc>
              <w:tc>
                <w:tcPr>
                  <w:tcW w:w="2551" w:type="dxa"/>
                  <w:gridSpan w:val="3"/>
                  <w:shd w:val="clear" w:color="auto" w:fill="006600"/>
                </w:tcPr>
                <w:p w14:paraId="6251E3B2" w14:textId="77777777" w:rsidR="00DC6CE6" w:rsidRPr="004C2C03" w:rsidRDefault="00DC6CE6" w:rsidP="00DC6CE6">
                  <w:pPr>
                    <w:jc w:val="center"/>
                    <w:rPr>
                      <w:color w:val="FFFFFF" w:themeColor="background1"/>
                      <w:sz w:val="16"/>
                      <w:szCs w:val="16"/>
                    </w:rPr>
                  </w:pPr>
                  <w:r w:rsidRPr="004C2C03">
                    <w:rPr>
                      <w:color w:val="FFFFFF" w:themeColor="background1"/>
                      <w:sz w:val="16"/>
                      <w:szCs w:val="16"/>
                    </w:rPr>
                    <w:t>Totale indennità (€/ha)</w:t>
                  </w:r>
                </w:p>
              </w:tc>
            </w:tr>
            <w:tr w:rsidR="00DC6CE6" w:rsidRPr="004C2C03" w14:paraId="766C71E4" w14:textId="77777777" w:rsidTr="00120DB4">
              <w:tc>
                <w:tcPr>
                  <w:tcW w:w="1555" w:type="dxa"/>
                  <w:shd w:val="clear" w:color="auto" w:fill="auto"/>
                </w:tcPr>
                <w:p w14:paraId="5EC59B8B" w14:textId="77777777" w:rsidR="00DC6CE6" w:rsidRPr="004C2C03" w:rsidRDefault="00DC6CE6" w:rsidP="00DC6CE6">
                  <w:pPr>
                    <w:rPr>
                      <w:sz w:val="16"/>
                      <w:szCs w:val="16"/>
                    </w:rPr>
                  </w:pPr>
                  <w:r w:rsidRPr="004C2C03">
                    <w:rPr>
                      <w:sz w:val="16"/>
                      <w:szCs w:val="16"/>
                    </w:rPr>
                    <w:t>Classe di superficie</w:t>
                  </w:r>
                </w:p>
              </w:tc>
              <w:tc>
                <w:tcPr>
                  <w:tcW w:w="850" w:type="dxa"/>
                  <w:shd w:val="clear" w:color="auto" w:fill="auto"/>
                </w:tcPr>
                <w:p w14:paraId="5DED1C34" w14:textId="77777777" w:rsidR="00DC6CE6" w:rsidRPr="004C2C03" w:rsidRDefault="00DC6CE6" w:rsidP="00DC6CE6">
                  <w:pPr>
                    <w:jc w:val="center"/>
                    <w:rPr>
                      <w:sz w:val="16"/>
                      <w:szCs w:val="16"/>
                    </w:rPr>
                  </w:pPr>
                  <w:r w:rsidRPr="004C2C03">
                    <w:rPr>
                      <w:sz w:val="16"/>
                      <w:szCs w:val="16"/>
                    </w:rPr>
                    <w:t>0 – 75 ha</w:t>
                  </w:r>
                </w:p>
              </w:tc>
              <w:tc>
                <w:tcPr>
                  <w:tcW w:w="992" w:type="dxa"/>
                  <w:shd w:val="clear" w:color="auto" w:fill="auto"/>
                </w:tcPr>
                <w:p w14:paraId="6C5FE8A1" w14:textId="77777777" w:rsidR="00DC6CE6" w:rsidRPr="004C2C03" w:rsidRDefault="00DC6CE6" w:rsidP="00DC6CE6">
                  <w:pPr>
                    <w:jc w:val="center"/>
                    <w:rPr>
                      <w:sz w:val="16"/>
                      <w:szCs w:val="16"/>
                    </w:rPr>
                  </w:pPr>
                  <w:r w:rsidRPr="004C2C03">
                    <w:rPr>
                      <w:sz w:val="16"/>
                      <w:szCs w:val="16"/>
                    </w:rPr>
                    <w:t>75 – 150 ha</w:t>
                  </w:r>
                </w:p>
              </w:tc>
              <w:tc>
                <w:tcPr>
                  <w:tcW w:w="709" w:type="dxa"/>
                  <w:shd w:val="clear" w:color="auto" w:fill="auto"/>
                </w:tcPr>
                <w:p w14:paraId="366C5E5A" w14:textId="77777777" w:rsidR="00DC6CE6" w:rsidRPr="004C2C03" w:rsidRDefault="00DC6CE6" w:rsidP="00DC6CE6">
                  <w:pPr>
                    <w:pStyle w:val="Paragrafoelenco"/>
                    <w:spacing w:after="0" w:line="240" w:lineRule="auto"/>
                    <w:ind w:left="0"/>
                    <w:jc w:val="center"/>
                    <w:rPr>
                      <w:sz w:val="16"/>
                      <w:szCs w:val="16"/>
                    </w:rPr>
                  </w:pPr>
                  <w:r w:rsidRPr="004C2C03">
                    <w:rPr>
                      <w:sz w:val="16"/>
                      <w:szCs w:val="16"/>
                    </w:rPr>
                    <w:t>&gt; 150</w:t>
                  </w:r>
                </w:p>
              </w:tc>
            </w:tr>
            <w:tr w:rsidR="00DC6CE6" w:rsidRPr="004C2C03" w14:paraId="70A4BF1F" w14:textId="77777777" w:rsidTr="00120DB4">
              <w:tc>
                <w:tcPr>
                  <w:tcW w:w="1555" w:type="dxa"/>
                </w:tcPr>
                <w:p w14:paraId="395A37CE" w14:textId="77777777" w:rsidR="00DC6CE6" w:rsidRPr="004C2C03" w:rsidRDefault="00DC6CE6" w:rsidP="00DC6CE6">
                  <w:pPr>
                    <w:rPr>
                      <w:sz w:val="16"/>
                      <w:szCs w:val="16"/>
                    </w:rPr>
                  </w:pPr>
                  <w:r w:rsidRPr="004C2C03">
                    <w:rPr>
                      <w:sz w:val="16"/>
                      <w:szCs w:val="16"/>
                    </w:rPr>
                    <w:t>Pascolo &gt; 2000 mt</w:t>
                  </w:r>
                </w:p>
              </w:tc>
              <w:tc>
                <w:tcPr>
                  <w:tcW w:w="850" w:type="dxa"/>
                  <w:shd w:val="clear" w:color="auto" w:fill="92D050"/>
                </w:tcPr>
                <w:p w14:paraId="551BBCF7" w14:textId="77777777" w:rsidR="00DC6CE6" w:rsidRPr="004C2C03" w:rsidRDefault="00DC6CE6" w:rsidP="00DC6CE6">
                  <w:pPr>
                    <w:jc w:val="right"/>
                    <w:rPr>
                      <w:sz w:val="16"/>
                      <w:szCs w:val="16"/>
                    </w:rPr>
                  </w:pPr>
                  <w:r w:rsidRPr="004C2C03">
                    <w:rPr>
                      <w:sz w:val="16"/>
                      <w:szCs w:val="16"/>
                    </w:rPr>
                    <w:t>160</w:t>
                  </w:r>
                </w:p>
              </w:tc>
              <w:tc>
                <w:tcPr>
                  <w:tcW w:w="992" w:type="dxa"/>
                  <w:shd w:val="clear" w:color="auto" w:fill="92D050"/>
                </w:tcPr>
                <w:p w14:paraId="242D357C" w14:textId="77777777" w:rsidR="00DC6CE6" w:rsidRPr="004C2C03" w:rsidRDefault="00DC6CE6" w:rsidP="00DC6CE6">
                  <w:pPr>
                    <w:jc w:val="right"/>
                    <w:rPr>
                      <w:sz w:val="16"/>
                      <w:szCs w:val="16"/>
                    </w:rPr>
                  </w:pPr>
                  <w:r w:rsidRPr="004C2C03">
                    <w:rPr>
                      <w:sz w:val="16"/>
                      <w:szCs w:val="16"/>
                    </w:rPr>
                    <w:t>130</w:t>
                  </w:r>
                </w:p>
              </w:tc>
              <w:tc>
                <w:tcPr>
                  <w:tcW w:w="709" w:type="dxa"/>
                  <w:shd w:val="clear" w:color="auto" w:fill="92D050"/>
                </w:tcPr>
                <w:p w14:paraId="7569A325" w14:textId="77777777" w:rsidR="00DC6CE6" w:rsidRPr="004C2C03" w:rsidRDefault="00DC6CE6" w:rsidP="00DC6CE6">
                  <w:pPr>
                    <w:jc w:val="right"/>
                    <w:rPr>
                      <w:sz w:val="16"/>
                      <w:szCs w:val="16"/>
                    </w:rPr>
                  </w:pPr>
                  <w:r w:rsidRPr="004C2C03">
                    <w:rPr>
                      <w:sz w:val="16"/>
                      <w:szCs w:val="16"/>
                    </w:rPr>
                    <w:t>110</w:t>
                  </w:r>
                </w:p>
              </w:tc>
            </w:tr>
            <w:tr w:rsidR="00DC6CE6" w:rsidRPr="004C2C03" w14:paraId="7CC7C53F" w14:textId="77777777" w:rsidTr="00120DB4">
              <w:tc>
                <w:tcPr>
                  <w:tcW w:w="1555" w:type="dxa"/>
                </w:tcPr>
                <w:p w14:paraId="7B44EBB0" w14:textId="77777777" w:rsidR="00DC6CE6" w:rsidRPr="004C2C03" w:rsidRDefault="00DC6CE6" w:rsidP="00DC6CE6">
                  <w:pPr>
                    <w:rPr>
                      <w:sz w:val="16"/>
                      <w:szCs w:val="16"/>
                    </w:rPr>
                  </w:pPr>
                  <w:r w:rsidRPr="004C2C03">
                    <w:rPr>
                      <w:sz w:val="16"/>
                      <w:szCs w:val="16"/>
                    </w:rPr>
                    <w:t>Pascolo &lt; 2000 mt</w:t>
                  </w:r>
                </w:p>
              </w:tc>
              <w:tc>
                <w:tcPr>
                  <w:tcW w:w="850" w:type="dxa"/>
                  <w:shd w:val="clear" w:color="auto" w:fill="92D050"/>
                </w:tcPr>
                <w:p w14:paraId="1E12C0A4" w14:textId="77777777" w:rsidR="00DC6CE6" w:rsidRPr="004C2C03" w:rsidRDefault="00DC6CE6" w:rsidP="00DC6CE6">
                  <w:pPr>
                    <w:jc w:val="right"/>
                    <w:rPr>
                      <w:sz w:val="16"/>
                      <w:szCs w:val="16"/>
                    </w:rPr>
                  </w:pPr>
                  <w:r w:rsidRPr="004C2C03">
                    <w:rPr>
                      <w:sz w:val="16"/>
                      <w:szCs w:val="16"/>
                    </w:rPr>
                    <w:t>80</w:t>
                  </w:r>
                </w:p>
              </w:tc>
              <w:tc>
                <w:tcPr>
                  <w:tcW w:w="992" w:type="dxa"/>
                  <w:shd w:val="clear" w:color="auto" w:fill="92D050"/>
                </w:tcPr>
                <w:p w14:paraId="5075173D" w14:textId="77777777" w:rsidR="00DC6CE6" w:rsidRPr="004C2C03" w:rsidRDefault="00DC6CE6" w:rsidP="00DC6CE6">
                  <w:pPr>
                    <w:jc w:val="right"/>
                    <w:rPr>
                      <w:sz w:val="16"/>
                      <w:szCs w:val="16"/>
                    </w:rPr>
                  </w:pPr>
                  <w:r w:rsidRPr="004C2C03">
                    <w:rPr>
                      <w:sz w:val="16"/>
                      <w:szCs w:val="16"/>
                    </w:rPr>
                    <w:t>65</w:t>
                  </w:r>
                </w:p>
              </w:tc>
              <w:tc>
                <w:tcPr>
                  <w:tcW w:w="709" w:type="dxa"/>
                  <w:shd w:val="clear" w:color="auto" w:fill="92D050"/>
                </w:tcPr>
                <w:p w14:paraId="370959D3" w14:textId="77777777" w:rsidR="00DC6CE6" w:rsidRPr="004C2C03" w:rsidRDefault="00DC6CE6" w:rsidP="00DC6CE6">
                  <w:pPr>
                    <w:jc w:val="right"/>
                    <w:rPr>
                      <w:sz w:val="16"/>
                      <w:szCs w:val="16"/>
                    </w:rPr>
                  </w:pPr>
                  <w:r w:rsidRPr="004C2C03">
                    <w:rPr>
                      <w:sz w:val="16"/>
                      <w:szCs w:val="16"/>
                    </w:rPr>
                    <w:t>55</w:t>
                  </w:r>
                </w:p>
              </w:tc>
            </w:tr>
          </w:tbl>
          <w:p w14:paraId="16E6FAAD" w14:textId="77777777" w:rsidR="00DC6CE6" w:rsidRDefault="00DC6CE6" w:rsidP="005F7F00">
            <w:pPr>
              <w:jc w:val="both"/>
              <w:rPr>
                <w:rFonts w:asciiTheme="minorHAnsi" w:hAnsiTheme="minorHAnsi"/>
                <w:color w:val="auto"/>
                <w:sz w:val="20"/>
                <w:szCs w:val="20"/>
                <w:shd w:val="clear" w:color="auto" w:fill="FFFFFF"/>
              </w:rPr>
            </w:pPr>
          </w:p>
          <w:p w14:paraId="362B6AD5" w14:textId="77777777" w:rsidR="00DC6CE6" w:rsidRDefault="00DC6CE6" w:rsidP="005F7F00">
            <w:pPr>
              <w:jc w:val="both"/>
              <w:rPr>
                <w:rFonts w:asciiTheme="minorHAnsi" w:hAnsiTheme="minorHAnsi"/>
                <w:color w:val="auto"/>
                <w:sz w:val="20"/>
                <w:szCs w:val="20"/>
                <w:shd w:val="clear" w:color="auto" w:fill="FFFFFF"/>
              </w:rPr>
            </w:pPr>
          </w:p>
          <w:p w14:paraId="3AAE38C2" w14:textId="77777777" w:rsidR="00DC6CE6" w:rsidRDefault="00DC6CE6" w:rsidP="005F7F00">
            <w:pPr>
              <w:jc w:val="both"/>
              <w:rPr>
                <w:rFonts w:asciiTheme="minorHAnsi" w:hAnsiTheme="minorHAnsi"/>
                <w:color w:val="auto"/>
                <w:sz w:val="20"/>
                <w:szCs w:val="20"/>
                <w:shd w:val="clear" w:color="auto" w:fill="FFFFFF"/>
              </w:rPr>
            </w:pPr>
          </w:p>
          <w:p w14:paraId="48C439FA" w14:textId="77777777" w:rsidR="00A14903" w:rsidRDefault="00A14903" w:rsidP="00A14903">
            <w:pPr>
              <w:jc w:val="both"/>
              <w:rPr>
                <w:rFonts w:asciiTheme="minorHAnsi" w:hAnsiTheme="minorHAnsi"/>
                <w:color w:val="auto"/>
                <w:sz w:val="20"/>
                <w:szCs w:val="20"/>
                <w:shd w:val="clear" w:color="auto" w:fill="FFFFFF"/>
              </w:rPr>
            </w:pPr>
          </w:p>
          <w:p w14:paraId="2AF0FAF2" w14:textId="77777777" w:rsidR="00DC6CE6" w:rsidRDefault="00DC6CE6" w:rsidP="00A14903">
            <w:pPr>
              <w:jc w:val="both"/>
              <w:rPr>
                <w:rFonts w:asciiTheme="minorHAnsi" w:hAnsiTheme="minorHAnsi"/>
                <w:color w:val="auto"/>
                <w:sz w:val="20"/>
                <w:szCs w:val="20"/>
                <w:shd w:val="clear" w:color="auto" w:fill="FFFFFF"/>
              </w:rPr>
            </w:pPr>
          </w:p>
          <w:p w14:paraId="79D7E88F" w14:textId="77777777" w:rsidR="00DC6CE6" w:rsidRDefault="00120DB4" w:rsidP="00A14903">
            <w:pPr>
              <w:jc w:val="both"/>
              <w:rPr>
                <w:rFonts w:asciiTheme="minorHAnsi" w:hAnsiTheme="minorHAnsi"/>
                <w:color w:val="auto"/>
                <w:sz w:val="20"/>
                <w:szCs w:val="20"/>
                <w:shd w:val="clear" w:color="auto" w:fill="FFFFFF"/>
              </w:rPr>
            </w:pPr>
            <w:r w:rsidRPr="00896850">
              <w:rPr>
                <w:rFonts w:eastAsia="Times New Roman" w:cs="Times New Roman"/>
                <w:b/>
                <w:bCs/>
                <w:color w:val="000000"/>
                <w:sz w:val="18"/>
                <w:szCs w:val="18"/>
                <w:lang w:eastAsia="it-IT"/>
              </w:rPr>
              <w:t>Sistema agricolo zootecnico estensivo e/o non zootecnico con colture foraggere. Prati permanenti</w:t>
            </w:r>
          </w:p>
          <w:tbl>
            <w:tblPr>
              <w:tblStyle w:val="Grigliatabella"/>
              <w:tblW w:w="5000" w:type="pct"/>
              <w:tblLook w:val="04A0" w:firstRow="1" w:lastRow="0" w:firstColumn="1" w:lastColumn="0" w:noHBand="0" w:noVBand="1"/>
            </w:tblPr>
            <w:tblGrid>
              <w:gridCol w:w="1021"/>
              <w:gridCol w:w="578"/>
              <w:gridCol w:w="580"/>
              <w:gridCol w:w="458"/>
              <w:gridCol w:w="582"/>
              <w:gridCol w:w="582"/>
              <w:gridCol w:w="460"/>
              <w:gridCol w:w="579"/>
              <w:gridCol w:w="582"/>
              <w:gridCol w:w="460"/>
            </w:tblGrid>
            <w:tr w:rsidR="00120DB4" w:rsidRPr="004C2C03" w14:paraId="562E5EB8" w14:textId="77777777" w:rsidTr="00120DB4">
              <w:tc>
                <w:tcPr>
                  <w:tcW w:w="644" w:type="pct"/>
                  <w:tcBorders>
                    <w:top w:val="single" w:sz="4" w:space="0" w:color="auto"/>
                    <w:left w:val="single" w:sz="4" w:space="0" w:color="auto"/>
                    <w:right w:val="single" w:sz="4" w:space="0" w:color="auto"/>
                  </w:tcBorders>
                  <w:shd w:val="clear" w:color="auto" w:fill="006600"/>
                </w:tcPr>
                <w:p w14:paraId="6B019D33" w14:textId="77777777" w:rsidR="00120DB4" w:rsidRPr="004C2C03" w:rsidRDefault="00120DB4" w:rsidP="00B3207C">
                  <w:pPr>
                    <w:framePr w:hSpace="141" w:wrap="around" w:vAnchor="text" w:hAnchor="text" w:x="-857" w:y="1"/>
                    <w:suppressOverlap/>
                    <w:rPr>
                      <w:rFonts w:asciiTheme="minorHAnsi" w:hAnsiTheme="minorHAnsi" w:cstheme="minorHAnsi"/>
                      <w:color w:val="FFFFFF" w:themeColor="background1"/>
                      <w:sz w:val="16"/>
                      <w:szCs w:val="16"/>
                    </w:rPr>
                  </w:pPr>
                  <w:r w:rsidRPr="004C2C03">
                    <w:rPr>
                      <w:rFonts w:asciiTheme="minorHAnsi" w:hAnsiTheme="minorHAnsi" w:cstheme="minorHAnsi"/>
                      <w:color w:val="FFFFFF" w:themeColor="background1"/>
                      <w:sz w:val="16"/>
                      <w:szCs w:val="16"/>
                    </w:rPr>
                    <w:t>Prato permanente</w:t>
                  </w:r>
                </w:p>
              </w:tc>
              <w:tc>
                <w:tcPr>
                  <w:tcW w:w="4356" w:type="pct"/>
                  <w:gridSpan w:val="9"/>
                  <w:tcBorders>
                    <w:top w:val="single" w:sz="4" w:space="0" w:color="auto"/>
                    <w:left w:val="single" w:sz="4" w:space="0" w:color="auto"/>
                    <w:bottom w:val="single" w:sz="4" w:space="0" w:color="auto"/>
                    <w:right w:val="single" w:sz="4" w:space="0" w:color="auto"/>
                  </w:tcBorders>
                  <w:shd w:val="clear" w:color="auto" w:fill="006600"/>
                </w:tcPr>
                <w:p w14:paraId="37F8930E" w14:textId="77777777" w:rsidR="00120DB4" w:rsidRPr="004C2C03" w:rsidRDefault="00120DB4" w:rsidP="00B3207C">
                  <w:pPr>
                    <w:framePr w:hSpace="141" w:wrap="around" w:vAnchor="text" w:hAnchor="text" w:x="-857" w:y="1"/>
                    <w:suppressOverlap/>
                    <w:jc w:val="center"/>
                    <w:rPr>
                      <w:rFonts w:asciiTheme="minorHAnsi" w:hAnsiTheme="minorHAnsi" w:cstheme="minorHAnsi"/>
                      <w:color w:val="FFFFFF" w:themeColor="background1"/>
                      <w:sz w:val="16"/>
                      <w:szCs w:val="16"/>
                    </w:rPr>
                  </w:pPr>
                  <w:r w:rsidRPr="004C2C03">
                    <w:rPr>
                      <w:rFonts w:asciiTheme="minorHAnsi" w:hAnsiTheme="minorHAnsi" w:cstheme="minorHAnsi"/>
                      <w:color w:val="FFFFFF" w:themeColor="background1"/>
                      <w:sz w:val="16"/>
                      <w:szCs w:val="16"/>
                    </w:rPr>
                    <w:t>Totale indennità (€/ha)</w:t>
                  </w:r>
                </w:p>
              </w:tc>
            </w:tr>
            <w:tr w:rsidR="00120DB4" w:rsidRPr="004C2C03" w14:paraId="48C13235" w14:textId="77777777" w:rsidTr="00120DB4">
              <w:trPr>
                <w:trHeight w:val="192"/>
              </w:trPr>
              <w:tc>
                <w:tcPr>
                  <w:tcW w:w="644" w:type="pct"/>
                  <w:vMerge w:val="restart"/>
                  <w:tcBorders>
                    <w:left w:val="single" w:sz="4" w:space="0" w:color="auto"/>
                    <w:right w:val="single" w:sz="4" w:space="0" w:color="auto"/>
                  </w:tcBorders>
                </w:tcPr>
                <w:p w14:paraId="4BF4A27E" w14:textId="77777777" w:rsidR="00120DB4" w:rsidRPr="004C2C03" w:rsidRDefault="00120DB4" w:rsidP="00B3207C">
                  <w:pPr>
                    <w:framePr w:hSpace="141" w:wrap="around" w:vAnchor="text" w:hAnchor="text" w:x="-857" w:y="1"/>
                    <w:suppressOverlap/>
                    <w:rPr>
                      <w:rFonts w:asciiTheme="minorHAnsi" w:hAnsiTheme="minorHAnsi" w:cstheme="minorHAnsi"/>
                      <w:sz w:val="16"/>
                      <w:szCs w:val="16"/>
                    </w:rPr>
                  </w:pPr>
                  <w:r w:rsidRPr="004C2C03">
                    <w:rPr>
                      <w:rFonts w:asciiTheme="minorHAnsi" w:hAnsiTheme="minorHAnsi" w:cstheme="minorHAnsi"/>
                      <w:sz w:val="16"/>
                      <w:szCs w:val="16"/>
                    </w:rPr>
                    <w:t>Pendenza</w:t>
                  </w:r>
                </w:p>
              </w:tc>
              <w:tc>
                <w:tcPr>
                  <w:tcW w:w="4356" w:type="pct"/>
                  <w:gridSpan w:val="9"/>
                  <w:tcBorders>
                    <w:top w:val="single" w:sz="4" w:space="0" w:color="auto"/>
                    <w:left w:val="single" w:sz="4" w:space="0" w:color="auto"/>
                  </w:tcBorders>
                </w:tcPr>
                <w:p w14:paraId="030A99F6"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Altitudine</w:t>
                  </w:r>
                </w:p>
              </w:tc>
            </w:tr>
            <w:tr w:rsidR="00120DB4" w:rsidRPr="004C2C03" w14:paraId="3F33EBC9" w14:textId="77777777" w:rsidTr="00120DB4">
              <w:tc>
                <w:tcPr>
                  <w:tcW w:w="644" w:type="pct"/>
                  <w:vMerge/>
                  <w:tcBorders>
                    <w:left w:val="single" w:sz="4" w:space="0" w:color="auto"/>
                    <w:right w:val="single" w:sz="4" w:space="0" w:color="auto"/>
                  </w:tcBorders>
                </w:tcPr>
                <w:p w14:paraId="36AFEBCE" w14:textId="77777777" w:rsidR="00120DB4" w:rsidRPr="004C2C03" w:rsidRDefault="00120DB4" w:rsidP="00B3207C">
                  <w:pPr>
                    <w:framePr w:hSpace="141" w:wrap="around" w:vAnchor="text" w:hAnchor="text" w:x="-857" w:y="1"/>
                    <w:suppressOverlap/>
                    <w:rPr>
                      <w:rFonts w:asciiTheme="minorHAnsi" w:hAnsiTheme="minorHAnsi" w:cstheme="minorHAnsi"/>
                      <w:sz w:val="16"/>
                      <w:szCs w:val="16"/>
                    </w:rPr>
                  </w:pPr>
                </w:p>
              </w:tc>
              <w:tc>
                <w:tcPr>
                  <w:tcW w:w="1452" w:type="pct"/>
                  <w:gridSpan w:val="3"/>
                  <w:tcBorders>
                    <w:left w:val="single" w:sz="4" w:space="0" w:color="auto"/>
                  </w:tcBorders>
                </w:tcPr>
                <w:p w14:paraId="15F6126F"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&lt; 750 mt</w:t>
                  </w:r>
                </w:p>
              </w:tc>
              <w:tc>
                <w:tcPr>
                  <w:tcW w:w="1453" w:type="pct"/>
                  <w:gridSpan w:val="3"/>
                </w:tcPr>
                <w:p w14:paraId="1C2DE293"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750 – 1500 mt</w:t>
                  </w:r>
                </w:p>
              </w:tc>
              <w:tc>
                <w:tcPr>
                  <w:tcW w:w="1452" w:type="pct"/>
                  <w:gridSpan w:val="3"/>
                </w:tcPr>
                <w:p w14:paraId="2759E85C" w14:textId="77777777" w:rsidR="00120DB4" w:rsidRPr="004C2C03" w:rsidRDefault="00120DB4" w:rsidP="00B3207C">
                  <w:pPr>
                    <w:pStyle w:val="Paragrafoelenco"/>
                    <w:framePr w:hSpace="141" w:wrap="around" w:vAnchor="text" w:hAnchor="text" w:x="-857" w:y="1"/>
                    <w:spacing w:after="0" w:line="240" w:lineRule="auto"/>
                    <w:ind w:left="360"/>
                    <w:suppressOverlap/>
                    <w:jc w:val="center"/>
                    <w:rPr>
                      <w:rFonts w:cstheme="minorHAnsi"/>
                      <w:sz w:val="16"/>
                      <w:szCs w:val="16"/>
                    </w:rPr>
                  </w:pPr>
                  <w:r w:rsidRPr="004C2C03">
                    <w:rPr>
                      <w:rFonts w:cstheme="minorHAnsi"/>
                      <w:sz w:val="16"/>
                      <w:szCs w:val="16"/>
                    </w:rPr>
                    <w:t>&gt;1500 mt</w:t>
                  </w:r>
                </w:p>
              </w:tc>
            </w:tr>
            <w:tr w:rsidR="00120DB4" w:rsidRPr="004C2C03" w14:paraId="3B19FC94" w14:textId="77777777" w:rsidTr="00120DB4">
              <w:tc>
                <w:tcPr>
                  <w:tcW w:w="644" w:type="pct"/>
                  <w:tcBorders>
                    <w:left w:val="single" w:sz="4" w:space="0" w:color="auto"/>
                    <w:right w:val="single" w:sz="4" w:space="0" w:color="auto"/>
                  </w:tcBorders>
                </w:tcPr>
                <w:p w14:paraId="45E95A1B" w14:textId="77777777" w:rsidR="00120DB4" w:rsidRPr="004C2C03" w:rsidRDefault="00120DB4" w:rsidP="00B3207C">
                  <w:pPr>
                    <w:framePr w:hSpace="141" w:wrap="around" w:vAnchor="text" w:hAnchor="text" w:x="-857" w:y="1"/>
                    <w:suppressOverlap/>
                    <w:rPr>
                      <w:rFonts w:asciiTheme="minorHAnsi" w:hAnsiTheme="minorHAnsi" w:cstheme="minorHAnsi"/>
                      <w:sz w:val="16"/>
                      <w:szCs w:val="16"/>
                    </w:rPr>
                  </w:pPr>
                  <w:r w:rsidRPr="004C2C03">
                    <w:rPr>
                      <w:rFonts w:asciiTheme="minorHAnsi" w:hAnsiTheme="minorHAnsi" w:cstheme="minorHAnsi"/>
                      <w:sz w:val="16"/>
                      <w:szCs w:val="16"/>
                    </w:rPr>
                    <w:t>Classe di superficie</w:t>
                  </w:r>
                </w:p>
              </w:tc>
              <w:tc>
                <w:tcPr>
                  <w:tcW w:w="518" w:type="pct"/>
                  <w:tcBorders>
                    <w:left w:val="single" w:sz="4" w:space="0" w:color="auto"/>
                  </w:tcBorders>
                </w:tcPr>
                <w:p w14:paraId="2432A0B7"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0 – 10 ha</w:t>
                  </w:r>
                </w:p>
              </w:tc>
              <w:tc>
                <w:tcPr>
                  <w:tcW w:w="519" w:type="pct"/>
                  <w:tcBorders>
                    <w:left w:val="single" w:sz="4" w:space="0" w:color="auto"/>
                  </w:tcBorders>
                </w:tcPr>
                <w:p w14:paraId="454C5D54"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10 – 20 ha</w:t>
                  </w:r>
                </w:p>
              </w:tc>
              <w:tc>
                <w:tcPr>
                  <w:tcW w:w="415" w:type="pct"/>
                  <w:tcBorders>
                    <w:left w:val="single" w:sz="4" w:space="0" w:color="auto"/>
                  </w:tcBorders>
                </w:tcPr>
                <w:p w14:paraId="1DA538FC"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&gt;20 ha</w:t>
                  </w:r>
                </w:p>
              </w:tc>
              <w:tc>
                <w:tcPr>
                  <w:tcW w:w="519" w:type="pct"/>
                </w:tcPr>
                <w:p w14:paraId="6687CA60"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0 – 10 ha</w:t>
                  </w:r>
                </w:p>
              </w:tc>
              <w:tc>
                <w:tcPr>
                  <w:tcW w:w="519" w:type="pct"/>
                </w:tcPr>
                <w:p w14:paraId="026BB2E0"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10 – 20 ha</w:t>
                  </w:r>
                </w:p>
              </w:tc>
              <w:tc>
                <w:tcPr>
                  <w:tcW w:w="415" w:type="pct"/>
                </w:tcPr>
                <w:p w14:paraId="78B9E15C"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&gt;20 ha</w:t>
                  </w:r>
                </w:p>
              </w:tc>
              <w:tc>
                <w:tcPr>
                  <w:tcW w:w="518" w:type="pct"/>
                </w:tcPr>
                <w:p w14:paraId="0E078A27"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0 – 10 ha</w:t>
                  </w:r>
                </w:p>
              </w:tc>
              <w:tc>
                <w:tcPr>
                  <w:tcW w:w="519" w:type="pct"/>
                </w:tcPr>
                <w:p w14:paraId="524BAACC"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10 – 20 ha</w:t>
                  </w:r>
                </w:p>
              </w:tc>
              <w:tc>
                <w:tcPr>
                  <w:tcW w:w="415" w:type="pct"/>
                </w:tcPr>
                <w:p w14:paraId="3BE42987"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&gt;20 ha</w:t>
                  </w:r>
                </w:p>
              </w:tc>
            </w:tr>
            <w:tr w:rsidR="00120DB4" w:rsidRPr="004C2C03" w14:paraId="34A44EA0" w14:textId="77777777" w:rsidTr="00120DB4">
              <w:tc>
                <w:tcPr>
                  <w:tcW w:w="644" w:type="pct"/>
                  <w:tcBorders>
                    <w:left w:val="single" w:sz="4" w:space="0" w:color="auto"/>
                    <w:right w:val="single" w:sz="4" w:space="0" w:color="auto"/>
                  </w:tcBorders>
                </w:tcPr>
                <w:p w14:paraId="6EFBA01D" w14:textId="77777777" w:rsidR="00120DB4" w:rsidRPr="004C2C03" w:rsidRDefault="00120DB4" w:rsidP="00B3207C">
                  <w:pPr>
                    <w:framePr w:hSpace="141" w:wrap="around" w:vAnchor="text" w:hAnchor="text" w:x="-857" w:y="1"/>
                    <w:suppressOverlap/>
                    <w:rPr>
                      <w:rFonts w:asciiTheme="minorHAnsi" w:hAnsiTheme="minorHAnsi" w:cstheme="minorHAnsi"/>
                      <w:sz w:val="16"/>
                      <w:szCs w:val="16"/>
                    </w:rPr>
                  </w:pPr>
                  <w:r w:rsidRPr="004C2C03">
                    <w:rPr>
                      <w:rFonts w:asciiTheme="minorHAnsi" w:hAnsiTheme="minorHAnsi" w:cstheme="minorHAnsi"/>
                      <w:sz w:val="16"/>
                      <w:szCs w:val="16"/>
                    </w:rPr>
                    <w:t>&lt; 10 %</w:t>
                  </w:r>
                </w:p>
              </w:tc>
              <w:tc>
                <w:tcPr>
                  <w:tcW w:w="518" w:type="pct"/>
                  <w:tcBorders>
                    <w:left w:val="single" w:sz="4" w:space="0" w:color="auto"/>
                  </w:tcBorders>
                  <w:shd w:val="clear" w:color="auto" w:fill="92D050"/>
                </w:tcPr>
                <w:p w14:paraId="463A7D62"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40</w:t>
                  </w:r>
                </w:p>
              </w:tc>
              <w:tc>
                <w:tcPr>
                  <w:tcW w:w="519" w:type="pct"/>
                  <w:tcBorders>
                    <w:left w:val="single" w:sz="4" w:space="0" w:color="auto"/>
                  </w:tcBorders>
                  <w:shd w:val="clear" w:color="auto" w:fill="92D050"/>
                </w:tcPr>
                <w:p w14:paraId="4CE8F463"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30</w:t>
                  </w:r>
                </w:p>
              </w:tc>
              <w:tc>
                <w:tcPr>
                  <w:tcW w:w="415" w:type="pct"/>
                  <w:tcBorders>
                    <w:left w:val="single" w:sz="4" w:space="0" w:color="auto"/>
                  </w:tcBorders>
                  <w:shd w:val="clear" w:color="auto" w:fill="92D050"/>
                </w:tcPr>
                <w:p w14:paraId="1FF4675D"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25</w:t>
                  </w:r>
                </w:p>
              </w:tc>
              <w:tc>
                <w:tcPr>
                  <w:tcW w:w="519" w:type="pct"/>
                  <w:shd w:val="clear" w:color="auto" w:fill="92D050"/>
                </w:tcPr>
                <w:p w14:paraId="7E2E15C0"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50</w:t>
                  </w:r>
                </w:p>
              </w:tc>
              <w:tc>
                <w:tcPr>
                  <w:tcW w:w="519" w:type="pct"/>
                  <w:shd w:val="clear" w:color="auto" w:fill="92D050"/>
                </w:tcPr>
                <w:p w14:paraId="49056514"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40</w:t>
                  </w:r>
                </w:p>
              </w:tc>
              <w:tc>
                <w:tcPr>
                  <w:tcW w:w="415" w:type="pct"/>
                  <w:shd w:val="clear" w:color="auto" w:fill="92D050"/>
                </w:tcPr>
                <w:p w14:paraId="6F0393B1"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30</w:t>
                  </w:r>
                </w:p>
              </w:tc>
              <w:tc>
                <w:tcPr>
                  <w:tcW w:w="518" w:type="pct"/>
                  <w:shd w:val="clear" w:color="auto" w:fill="92D050"/>
                </w:tcPr>
                <w:p w14:paraId="7745EEEC" w14:textId="77777777" w:rsidR="00120DB4" w:rsidRPr="004C2C03" w:rsidRDefault="00120DB4" w:rsidP="00B3207C">
                  <w:pPr>
                    <w:framePr w:hSpace="141" w:wrap="around" w:vAnchor="text" w:hAnchor="text" w:x="-857" w:y="1"/>
                    <w:suppressOverlap/>
                    <w:rPr>
                      <w:rFonts w:asciiTheme="minorHAnsi" w:hAnsiTheme="minorHAnsi" w:cstheme="minorHAnsi"/>
                      <w:sz w:val="16"/>
                      <w:szCs w:val="16"/>
                      <w:lang w:eastAsia="it-IT"/>
                    </w:rPr>
                  </w:pPr>
                  <w:r w:rsidRPr="004C2C03">
                    <w:rPr>
                      <w:rFonts w:asciiTheme="minorHAnsi" w:hAnsiTheme="minorHAnsi" w:cstheme="minorHAnsi"/>
                      <w:sz w:val="16"/>
                      <w:szCs w:val="16"/>
                      <w:lang w:eastAsia="it-IT"/>
                    </w:rPr>
                    <w:t>70</w:t>
                  </w:r>
                </w:p>
              </w:tc>
              <w:tc>
                <w:tcPr>
                  <w:tcW w:w="519" w:type="pct"/>
                  <w:shd w:val="clear" w:color="auto" w:fill="92D050"/>
                </w:tcPr>
                <w:p w14:paraId="50EBDD3A" w14:textId="77777777" w:rsidR="00120DB4" w:rsidRPr="004C2C03" w:rsidRDefault="00120DB4" w:rsidP="00B3207C">
                  <w:pPr>
                    <w:framePr w:hSpace="141" w:wrap="around" w:vAnchor="text" w:hAnchor="text" w:x="-857" w:y="1"/>
                    <w:suppressOverlap/>
                    <w:rPr>
                      <w:rFonts w:asciiTheme="minorHAnsi" w:hAnsiTheme="minorHAnsi" w:cstheme="minorHAnsi"/>
                      <w:sz w:val="16"/>
                      <w:szCs w:val="16"/>
                      <w:lang w:eastAsia="it-IT"/>
                    </w:rPr>
                  </w:pPr>
                  <w:r w:rsidRPr="004C2C03">
                    <w:rPr>
                      <w:rFonts w:asciiTheme="minorHAnsi" w:hAnsiTheme="minorHAnsi" w:cstheme="minorHAnsi"/>
                      <w:sz w:val="16"/>
                      <w:szCs w:val="16"/>
                      <w:lang w:eastAsia="it-IT"/>
                    </w:rPr>
                    <w:t>50</w:t>
                  </w:r>
                </w:p>
              </w:tc>
              <w:tc>
                <w:tcPr>
                  <w:tcW w:w="415" w:type="pct"/>
                  <w:shd w:val="clear" w:color="auto" w:fill="92D050"/>
                </w:tcPr>
                <w:p w14:paraId="0392DFE7" w14:textId="77777777" w:rsidR="00120DB4" w:rsidRPr="004C2C03" w:rsidRDefault="00120DB4" w:rsidP="00B3207C">
                  <w:pPr>
                    <w:framePr w:hSpace="141" w:wrap="around" w:vAnchor="text" w:hAnchor="text" w:x="-857" w:y="1"/>
                    <w:suppressOverlap/>
                    <w:rPr>
                      <w:rFonts w:asciiTheme="minorHAnsi" w:hAnsiTheme="minorHAnsi" w:cstheme="minorHAnsi"/>
                      <w:sz w:val="16"/>
                      <w:szCs w:val="16"/>
                      <w:lang w:eastAsia="it-IT"/>
                    </w:rPr>
                  </w:pPr>
                  <w:r w:rsidRPr="004C2C03">
                    <w:rPr>
                      <w:rFonts w:asciiTheme="minorHAnsi" w:hAnsiTheme="minorHAnsi" w:cstheme="minorHAnsi"/>
                      <w:sz w:val="16"/>
                      <w:szCs w:val="16"/>
                      <w:lang w:eastAsia="it-IT"/>
                    </w:rPr>
                    <w:t>45</w:t>
                  </w:r>
                </w:p>
              </w:tc>
            </w:tr>
            <w:tr w:rsidR="00120DB4" w:rsidRPr="004C2C03" w14:paraId="42B7F0AD" w14:textId="77777777" w:rsidTr="00120DB4">
              <w:tc>
                <w:tcPr>
                  <w:tcW w:w="644" w:type="pct"/>
                  <w:tcBorders>
                    <w:left w:val="single" w:sz="4" w:space="0" w:color="auto"/>
                    <w:right w:val="single" w:sz="4" w:space="0" w:color="auto"/>
                  </w:tcBorders>
                </w:tcPr>
                <w:p w14:paraId="1E692253" w14:textId="77777777" w:rsidR="00120DB4" w:rsidRPr="004C2C03" w:rsidRDefault="00120DB4" w:rsidP="00B3207C">
                  <w:pPr>
                    <w:framePr w:hSpace="141" w:wrap="around" w:vAnchor="text" w:hAnchor="text" w:x="-857" w:y="1"/>
                    <w:suppressOverlap/>
                    <w:rPr>
                      <w:rFonts w:asciiTheme="minorHAnsi" w:hAnsiTheme="minorHAnsi" w:cstheme="minorHAnsi"/>
                      <w:sz w:val="16"/>
                      <w:szCs w:val="16"/>
                    </w:rPr>
                  </w:pPr>
                  <w:r w:rsidRPr="004C2C03">
                    <w:rPr>
                      <w:rFonts w:asciiTheme="minorHAnsi" w:hAnsiTheme="minorHAnsi" w:cstheme="minorHAnsi"/>
                      <w:sz w:val="16"/>
                      <w:szCs w:val="16"/>
                    </w:rPr>
                    <w:t>10 – 20 %</w:t>
                  </w:r>
                </w:p>
              </w:tc>
              <w:tc>
                <w:tcPr>
                  <w:tcW w:w="518" w:type="pct"/>
                  <w:tcBorders>
                    <w:left w:val="single" w:sz="4" w:space="0" w:color="auto"/>
                  </w:tcBorders>
                  <w:shd w:val="clear" w:color="auto" w:fill="92D050"/>
                </w:tcPr>
                <w:p w14:paraId="42568798"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70</w:t>
                  </w:r>
                </w:p>
              </w:tc>
              <w:tc>
                <w:tcPr>
                  <w:tcW w:w="519" w:type="pct"/>
                  <w:tcBorders>
                    <w:left w:val="single" w:sz="4" w:space="0" w:color="auto"/>
                  </w:tcBorders>
                  <w:shd w:val="clear" w:color="auto" w:fill="92D050"/>
                </w:tcPr>
                <w:p w14:paraId="0C9CA9F7"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50</w:t>
                  </w:r>
                </w:p>
              </w:tc>
              <w:tc>
                <w:tcPr>
                  <w:tcW w:w="415" w:type="pct"/>
                  <w:tcBorders>
                    <w:left w:val="single" w:sz="4" w:space="0" w:color="auto"/>
                  </w:tcBorders>
                  <w:shd w:val="clear" w:color="auto" w:fill="92D050"/>
                </w:tcPr>
                <w:p w14:paraId="713110BD"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45</w:t>
                  </w:r>
                </w:p>
              </w:tc>
              <w:tc>
                <w:tcPr>
                  <w:tcW w:w="519" w:type="pct"/>
                  <w:shd w:val="clear" w:color="auto" w:fill="92D050"/>
                </w:tcPr>
                <w:p w14:paraId="025C22B7"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100</w:t>
                  </w:r>
                </w:p>
              </w:tc>
              <w:tc>
                <w:tcPr>
                  <w:tcW w:w="519" w:type="pct"/>
                  <w:shd w:val="clear" w:color="auto" w:fill="92D050"/>
                </w:tcPr>
                <w:p w14:paraId="23AC8A4B"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75</w:t>
                  </w:r>
                </w:p>
              </w:tc>
              <w:tc>
                <w:tcPr>
                  <w:tcW w:w="415" w:type="pct"/>
                  <w:shd w:val="clear" w:color="auto" w:fill="92D050"/>
                </w:tcPr>
                <w:p w14:paraId="2D42217D"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65</w:t>
                  </w:r>
                </w:p>
              </w:tc>
              <w:tc>
                <w:tcPr>
                  <w:tcW w:w="518" w:type="pct"/>
                  <w:shd w:val="clear" w:color="auto" w:fill="92D050"/>
                </w:tcPr>
                <w:p w14:paraId="5D0B7267" w14:textId="77777777" w:rsidR="00120DB4" w:rsidRPr="004C2C03" w:rsidRDefault="00120DB4" w:rsidP="00B3207C">
                  <w:pPr>
                    <w:framePr w:hSpace="141" w:wrap="around" w:vAnchor="text" w:hAnchor="text" w:x="-857" w:y="1"/>
                    <w:suppressOverlap/>
                    <w:rPr>
                      <w:rFonts w:asciiTheme="minorHAnsi" w:hAnsiTheme="minorHAnsi" w:cstheme="minorHAnsi"/>
                      <w:sz w:val="16"/>
                      <w:szCs w:val="16"/>
                      <w:lang w:eastAsia="it-IT"/>
                    </w:rPr>
                  </w:pPr>
                  <w:r w:rsidRPr="004C2C03">
                    <w:rPr>
                      <w:rFonts w:asciiTheme="minorHAnsi" w:hAnsiTheme="minorHAnsi" w:cstheme="minorHAnsi"/>
                      <w:sz w:val="16"/>
                      <w:szCs w:val="16"/>
                      <w:lang w:eastAsia="it-IT"/>
                    </w:rPr>
                    <w:t>120</w:t>
                  </w:r>
                </w:p>
              </w:tc>
              <w:tc>
                <w:tcPr>
                  <w:tcW w:w="519" w:type="pct"/>
                  <w:shd w:val="clear" w:color="auto" w:fill="92D050"/>
                </w:tcPr>
                <w:p w14:paraId="1B30C9E3" w14:textId="77777777" w:rsidR="00120DB4" w:rsidRPr="004C2C03" w:rsidRDefault="00120DB4" w:rsidP="00B3207C">
                  <w:pPr>
                    <w:framePr w:hSpace="141" w:wrap="around" w:vAnchor="text" w:hAnchor="text" w:x="-857" w:y="1"/>
                    <w:suppressOverlap/>
                    <w:rPr>
                      <w:rFonts w:asciiTheme="minorHAnsi" w:hAnsiTheme="minorHAnsi" w:cstheme="minorHAnsi"/>
                      <w:sz w:val="16"/>
                      <w:szCs w:val="16"/>
                      <w:lang w:eastAsia="it-IT"/>
                    </w:rPr>
                  </w:pPr>
                  <w:r w:rsidRPr="004C2C03">
                    <w:rPr>
                      <w:rFonts w:asciiTheme="minorHAnsi" w:hAnsiTheme="minorHAnsi" w:cstheme="minorHAnsi"/>
                      <w:sz w:val="16"/>
                      <w:szCs w:val="16"/>
                      <w:lang w:eastAsia="it-IT"/>
                    </w:rPr>
                    <w:t>90</w:t>
                  </w:r>
                </w:p>
              </w:tc>
              <w:tc>
                <w:tcPr>
                  <w:tcW w:w="415" w:type="pct"/>
                  <w:shd w:val="clear" w:color="auto" w:fill="92D050"/>
                </w:tcPr>
                <w:p w14:paraId="39BDD598" w14:textId="77777777" w:rsidR="00120DB4" w:rsidRPr="004C2C03" w:rsidRDefault="00120DB4" w:rsidP="00B3207C">
                  <w:pPr>
                    <w:framePr w:hSpace="141" w:wrap="around" w:vAnchor="text" w:hAnchor="text" w:x="-857" w:y="1"/>
                    <w:suppressOverlap/>
                    <w:rPr>
                      <w:rFonts w:asciiTheme="minorHAnsi" w:hAnsiTheme="minorHAnsi" w:cstheme="minorHAnsi"/>
                      <w:sz w:val="16"/>
                      <w:szCs w:val="16"/>
                      <w:lang w:eastAsia="it-IT"/>
                    </w:rPr>
                  </w:pPr>
                  <w:r w:rsidRPr="004C2C03">
                    <w:rPr>
                      <w:rFonts w:asciiTheme="minorHAnsi" w:hAnsiTheme="minorHAnsi" w:cstheme="minorHAnsi"/>
                      <w:sz w:val="16"/>
                      <w:szCs w:val="16"/>
                      <w:lang w:eastAsia="it-IT"/>
                    </w:rPr>
                    <w:t>75</w:t>
                  </w:r>
                </w:p>
              </w:tc>
            </w:tr>
            <w:tr w:rsidR="00120DB4" w:rsidRPr="004C2C03" w14:paraId="0BBB9AFE" w14:textId="77777777" w:rsidTr="00120DB4">
              <w:tc>
                <w:tcPr>
                  <w:tcW w:w="644" w:type="pct"/>
                  <w:tcBorders>
                    <w:left w:val="single" w:sz="4" w:space="0" w:color="auto"/>
                    <w:right w:val="single" w:sz="4" w:space="0" w:color="auto"/>
                  </w:tcBorders>
                </w:tcPr>
                <w:p w14:paraId="2598E920" w14:textId="77777777" w:rsidR="00120DB4" w:rsidRPr="004C2C03" w:rsidRDefault="00120DB4" w:rsidP="00B3207C">
                  <w:pPr>
                    <w:framePr w:hSpace="141" w:wrap="around" w:vAnchor="text" w:hAnchor="text" w:x="-857" w:y="1"/>
                    <w:suppressOverlap/>
                    <w:rPr>
                      <w:rFonts w:asciiTheme="minorHAnsi" w:hAnsiTheme="minorHAnsi" w:cstheme="minorHAnsi"/>
                      <w:sz w:val="16"/>
                      <w:szCs w:val="16"/>
                    </w:rPr>
                  </w:pPr>
                  <w:r w:rsidRPr="004C2C03">
                    <w:rPr>
                      <w:rFonts w:asciiTheme="minorHAnsi" w:hAnsiTheme="minorHAnsi" w:cstheme="minorHAnsi"/>
                      <w:sz w:val="16"/>
                      <w:szCs w:val="16"/>
                    </w:rPr>
                    <w:t>&gt;20 %</w:t>
                  </w:r>
                </w:p>
              </w:tc>
              <w:tc>
                <w:tcPr>
                  <w:tcW w:w="518" w:type="pct"/>
                  <w:tcBorders>
                    <w:left w:val="single" w:sz="4" w:space="0" w:color="auto"/>
                  </w:tcBorders>
                  <w:shd w:val="clear" w:color="auto" w:fill="92D050"/>
                </w:tcPr>
                <w:p w14:paraId="76344704"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120</w:t>
                  </w:r>
                </w:p>
              </w:tc>
              <w:tc>
                <w:tcPr>
                  <w:tcW w:w="519" w:type="pct"/>
                  <w:tcBorders>
                    <w:left w:val="single" w:sz="4" w:space="0" w:color="auto"/>
                  </w:tcBorders>
                  <w:shd w:val="clear" w:color="auto" w:fill="92D050"/>
                </w:tcPr>
                <w:p w14:paraId="4E954EDA"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90</w:t>
                  </w:r>
                </w:p>
              </w:tc>
              <w:tc>
                <w:tcPr>
                  <w:tcW w:w="415" w:type="pct"/>
                  <w:tcBorders>
                    <w:left w:val="single" w:sz="4" w:space="0" w:color="auto"/>
                  </w:tcBorders>
                  <w:shd w:val="clear" w:color="auto" w:fill="92D050"/>
                </w:tcPr>
                <w:p w14:paraId="50FED856"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80</w:t>
                  </w:r>
                </w:p>
              </w:tc>
              <w:tc>
                <w:tcPr>
                  <w:tcW w:w="519" w:type="pct"/>
                  <w:shd w:val="clear" w:color="auto" w:fill="92D050"/>
                </w:tcPr>
                <w:p w14:paraId="5BBE3E99"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200</w:t>
                  </w:r>
                </w:p>
              </w:tc>
              <w:tc>
                <w:tcPr>
                  <w:tcW w:w="519" w:type="pct"/>
                  <w:shd w:val="clear" w:color="auto" w:fill="92D050"/>
                </w:tcPr>
                <w:p w14:paraId="2C7447E1"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150</w:t>
                  </w:r>
                </w:p>
              </w:tc>
              <w:tc>
                <w:tcPr>
                  <w:tcW w:w="415" w:type="pct"/>
                  <w:shd w:val="clear" w:color="auto" w:fill="92D050"/>
                </w:tcPr>
                <w:p w14:paraId="03F6437B" w14:textId="77777777" w:rsidR="00120DB4" w:rsidRPr="004C2C03" w:rsidRDefault="00120DB4" w:rsidP="00B3207C">
                  <w:pPr>
                    <w:framePr w:hSpace="141" w:wrap="around" w:vAnchor="text" w:hAnchor="text" w:x="-857" w:y="1"/>
                    <w:suppressOverlap/>
                    <w:jc w:val="center"/>
                    <w:rPr>
                      <w:rFonts w:asciiTheme="minorHAnsi" w:hAnsiTheme="minorHAnsi" w:cstheme="minorHAnsi"/>
                      <w:sz w:val="16"/>
                      <w:szCs w:val="16"/>
                    </w:rPr>
                  </w:pPr>
                  <w:r w:rsidRPr="004C2C03">
                    <w:rPr>
                      <w:rFonts w:asciiTheme="minorHAnsi" w:hAnsiTheme="minorHAnsi" w:cstheme="minorHAnsi"/>
                      <w:sz w:val="16"/>
                      <w:szCs w:val="16"/>
                    </w:rPr>
                    <w:t>130</w:t>
                  </w:r>
                </w:p>
              </w:tc>
              <w:tc>
                <w:tcPr>
                  <w:tcW w:w="518" w:type="pct"/>
                  <w:shd w:val="clear" w:color="auto" w:fill="92D050"/>
                </w:tcPr>
                <w:p w14:paraId="198776C4" w14:textId="77777777" w:rsidR="00120DB4" w:rsidRPr="004C2C03" w:rsidRDefault="00120DB4" w:rsidP="00B3207C">
                  <w:pPr>
                    <w:framePr w:hSpace="141" w:wrap="around" w:vAnchor="text" w:hAnchor="text" w:x="-857" w:y="1"/>
                    <w:suppressOverlap/>
                    <w:rPr>
                      <w:rFonts w:asciiTheme="minorHAnsi" w:hAnsiTheme="minorHAnsi" w:cstheme="minorHAnsi"/>
                      <w:sz w:val="16"/>
                      <w:szCs w:val="16"/>
                      <w:lang w:eastAsia="it-IT"/>
                    </w:rPr>
                  </w:pPr>
                  <w:r w:rsidRPr="004C2C03">
                    <w:rPr>
                      <w:rFonts w:asciiTheme="minorHAnsi" w:hAnsiTheme="minorHAnsi" w:cstheme="minorHAnsi"/>
                      <w:sz w:val="16"/>
                      <w:szCs w:val="16"/>
                      <w:lang w:eastAsia="it-IT"/>
                    </w:rPr>
                    <w:t>300</w:t>
                  </w:r>
                </w:p>
              </w:tc>
              <w:tc>
                <w:tcPr>
                  <w:tcW w:w="519" w:type="pct"/>
                  <w:shd w:val="clear" w:color="auto" w:fill="92D050"/>
                </w:tcPr>
                <w:p w14:paraId="7CE3EFB4" w14:textId="77777777" w:rsidR="00120DB4" w:rsidRPr="004C2C03" w:rsidRDefault="00120DB4" w:rsidP="00B3207C">
                  <w:pPr>
                    <w:framePr w:hSpace="141" w:wrap="around" w:vAnchor="text" w:hAnchor="text" w:x="-857" w:y="1"/>
                    <w:suppressOverlap/>
                    <w:rPr>
                      <w:rFonts w:asciiTheme="minorHAnsi" w:hAnsiTheme="minorHAnsi" w:cstheme="minorHAnsi"/>
                      <w:sz w:val="16"/>
                      <w:szCs w:val="16"/>
                      <w:lang w:eastAsia="it-IT"/>
                    </w:rPr>
                  </w:pPr>
                  <w:r w:rsidRPr="004C2C03">
                    <w:rPr>
                      <w:rFonts w:asciiTheme="minorHAnsi" w:hAnsiTheme="minorHAnsi" w:cstheme="minorHAnsi"/>
                      <w:sz w:val="16"/>
                      <w:szCs w:val="16"/>
                      <w:lang w:eastAsia="it-IT"/>
                    </w:rPr>
                    <w:t>225</w:t>
                  </w:r>
                </w:p>
              </w:tc>
              <w:tc>
                <w:tcPr>
                  <w:tcW w:w="415" w:type="pct"/>
                  <w:shd w:val="clear" w:color="auto" w:fill="92D050"/>
                </w:tcPr>
                <w:p w14:paraId="4F6FB690" w14:textId="77777777" w:rsidR="00120DB4" w:rsidRPr="004C2C03" w:rsidRDefault="00120DB4" w:rsidP="00B3207C">
                  <w:pPr>
                    <w:framePr w:hSpace="141" w:wrap="around" w:vAnchor="text" w:hAnchor="text" w:x="-857" w:y="1"/>
                    <w:suppressOverlap/>
                    <w:rPr>
                      <w:rFonts w:asciiTheme="minorHAnsi" w:hAnsiTheme="minorHAnsi" w:cstheme="minorHAnsi"/>
                      <w:sz w:val="16"/>
                      <w:szCs w:val="16"/>
                      <w:lang w:eastAsia="it-IT"/>
                    </w:rPr>
                  </w:pPr>
                  <w:r w:rsidRPr="004C2C03">
                    <w:rPr>
                      <w:rFonts w:asciiTheme="minorHAnsi" w:hAnsiTheme="minorHAnsi" w:cstheme="minorHAnsi"/>
                      <w:sz w:val="16"/>
                      <w:szCs w:val="16"/>
                      <w:lang w:eastAsia="it-IT"/>
                    </w:rPr>
                    <w:t>190</w:t>
                  </w:r>
                </w:p>
              </w:tc>
            </w:tr>
          </w:tbl>
          <w:p w14:paraId="3735AC3C" w14:textId="77777777" w:rsidR="00DC6CE6" w:rsidRDefault="00DC6CE6" w:rsidP="00A14903">
            <w:pPr>
              <w:jc w:val="both"/>
              <w:rPr>
                <w:rFonts w:asciiTheme="minorHAnsi" w:hAnsiTheme="minorHAnsi"/>
                <w:color w:val="auto"/>
                <w:sz w:val="20"/>
                <w:szCs w:val="20"/>
                <w:shd w:val="clear" w:color="auto" w:fill="FFFFFF"/>
              </w:rPr>
            </w:pPr>
          </w:p>
          <w:p w14:paraId="211D48D9" w14:textId="77777777" w:rsidR="00120DB4" w:rsidRPr="00A14903" w:rsidRDefault="00120DB4" w:rsidP="00120DB4">
            <w:pPr>
              <w:spacing w:after="120"/>
              <w:ind w:left="198" w:hanging="198"/>
              <w:rPr>
                <w:rFonts w:eastAsia="Times New Roman" w:cs="Times New Roman"/>
                <w:b/>
                <w:bCs/>
                <w:color w:val="000000"/>
                <w:sz w:val="18"/>
                <w:szCs w:val="18"/>
                <w:lang w:eastAsia="it-IT"/>
              </w:rPr>
            </w:pPr>
            <w:r w:rsidRPr="00A14903">
              <w:rPr>
                <w:rFonts w:eastAsia="Times New Roman" w:cs="Times New Roman"/>
                <w:b/>
                <w:bCs/>
                <w:color w:val="000000"/>
                <w:sz w:val="18"/>
                <w:szCs w:val="18"/>
                <w:lang w:eastAsia="it-IT"/>
              </w:rPr>
              <w:t>Sistema agricolo seminativi</w:t>
            </w:r>
          </w:p>
          <w:tbl>
            <w:tblPr>
              <w:tblStyle w:val="Grigliatabella"/>
              <w:tblW w:w="0" w:type="auto"/>
              <w:tblInd w:w="108" w:type="dxa"/>
              <w:tblLook w:val="04A0" w:firstRow="1" w:lastRow="0" w:firstColumn="1" w:lastColumn="0" w:noHBand="0" w:noVBand="1"/>
            </w:tblPr>
            <w:tblGrid>
              <w:gridCol w:w="1447"/>
              <w:gridCol w:w="850"/>
              <w:gridCol w:w="992"/>
              <w:gridCol w:w="851"/>
            </w:tblGrid>
            <w:tr w:rsidR="00120DB4" w:rsidRPr="004C2C03" w14:paraId="1D8318AA" w14:textId="77777777" w:rsidTr="00A942BA">
              <w:tc>
                <w:tcPr>
                  <w:tcW w:w="1447" w:type="dxa"/>
                  <w:tcBorders>
                    <w:top w:val="single" w:sz="4" w:space="0" w:color="auto"/>
                    <w:left w:val="single" w:sz="4" w:space="0" w:color="auto"/>
                    <w:right w:val="single" w:sz="4" w:space="0" w:color="auto"/>
                  </w:tcBorders>
                  <w:shd w:val="clear" w:color="auto" w:fill="006600"/>
                </w:tcPr>
                <w:p w14:paraId="7B807882" w14:textId="77777777" w:rsidR="00120DB4" w:rsidRPr="004C2C03" w:rsidRDefault="00120DB4" w:rsidP="00B3207C">
                  <w:pPr>
                    <w:framePr w:hSpace="141" w:wrap="around" w:vAnchor="text" w:hAnchor="text" w:x="-857" w:y="1"/>
                    <w:suppressOverlap/>
                    <w:rPr>
                      <w:color w:val="FFFFFF" w:themeColor="background1"/>
                      <w:sz w:val="16"/>
                      <w:szCs w:val="16"/>
                    </w:rPr>
                  </w:pPr>
                  <w:r w:rsidRPr="004C2C03">
                    <w:rPr>
                      <w:color w:val="FFFFFF" w:themeColor="background1"/>
                      <w:sz w:val="16"/>
                      <w:szCs w:val="16"/>
                    </w:rPr>
                    <w:t>Seminativi</w:t>
                  </w:r>
                </w:p>
              </w:tc>
              <w:tc>
                <w:tcPr>
                  <w:tcW w:w="2693" w:type="dxa"/>
                  <w:gridSpan w:val="3"/>
                  <w:tcBorders>
                    <w:top w:val="single" w:sz="4" w:space="0" w:color="auto"/>
                    <w:left w:val="single" w:sz="4" w:space="0" w:color="auto"/>
                    <w:bottom w:val="single" w:sz="4" w:space="0" w:color="auto"/>
                    <w:right w:val="single" w:sz="4" w:space="0" w:color="auto"/>
                  </w:tcBorders>
                  <w:shd w:val="clear" w:color="auto" w:fill="006600"/>
                </w:tcPr>
                <w:p w14:paraId="0A9BFE9A" w14:textId="77777777" w:rsidR="00120DB4" w:rsidRPr="004C2C03" w:rsidRDefault="00120DB4" w:rsidP="00B3207C">
                  <w:pPr>
                    <w:framePr w:hSpace="141" w:wrap="around" w:vAnchor="text" w:hAnchor="text" w:x="-857" w:y="1"/>
                    <w:suppressOverlap/>
                    <w:jc w:val="center"/>
                    <w:rPr>
                      <w:color w:val="FFFFFF" w:themeColor="background1"/>
                      <w:sz w:val="16"/>
                      <w:szCs w:val="16"/>
                    </w:rPr>
                  </w:pPr>
                  <w:r w:rsidRPr="004C2C03">
                    <w:rPr>
                      <w:color w:val="FFFFFF" w:themeColor="background1"/>
                      <w:sz w:val="16"/>
                      <w:szCs w:val="16"/>
                    </w:rPr>
                    <w:t>Totale indennità (€/ha)</w:t>
                  </w:r>
                </w:p>
              </w:tc>
            </w:tr>
            <w:tr w:rsidR="00120DB4" w:rsidRPr="004C2C03" w14:paraId="64E3A5B2" w14:textId="77777777" w:rsidTr="00A942BA">
              <w:tc>
                <w:tcPr>
                  <w:tcW w:w="1447" w:type="dxa"/>
                  <w:tcBorders>
                    <w:top w:val="single" w:sz="4" w:space="0" w:color="auto"/>
                    <w:left w:val="single" w:sz="4" w:space="0" w:color="auto"/>
                    <w:right w:val="single" w:sz="4" w:space="0" w:color="auto"/>
                  </w:tcBorders>
                  <w:shd w:val="clear" w:color="auto" w:fill="auto"/>
                </w:tcPr>
                <w:p w14:paraId="4955E682" w14:textId="77777777" w:rsidR="00120DB4" w:rsidRPr="004C2C03" w:rsidRDefault="00120DB4" w:rsidP="00B3207C">
                  <w:pPr>
                    <w:framePr w:hSpace="141" w:wrap="around" w:vAnchor="text" w:hAnchor="text" w:x="-857" w:y="1"/>
                    <w:suppressOverlap/>
                    <w:rPr>
                      <w:sz w:val="16"/>
                      <w:szCs w:val="16"/>
                    </w:rPr>
                  </w:pPr>
                  <w:r w:rsidRPr="004C2C03">
                    <w:rPr>
                      <w:sz w:val="16"/>
                      <w:szCs w:val="16"/>
                    </w:rPr>
                    <w:t xml:space="preserve">Classe di </w:t>
                  </w:r>
                  <w:r w:rsidRPr="004C2C03">
                    <w:rPr>
                      <w:sz w:val="16"/>
                      <w:szCs w:val="16"/>
                    </w:rPr>
                    <w:lastRenderedPageBreak/>
                    <w:t>superfici</w:t>
                  </w:r>
                  <w:r>
                    <w:rPr>
                      <w:sz w:val="16"/>
                      <w:szCs w:val="16"/>
                    </w:rPr>
                    <w:t>e</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F78DE44" w14:textId="77777777" w:rsidR="00120DB4" w:rsidRPr="004C2C03" w:rsidRDefault="00120DB4" w:rsidP="00B3207C">
                  <w:pPr>
                    <w:framePr w:hSpace="141" w:wrap="around" w:vAnchor="text" w:hAnchor="text" w:x="-857" w:y="1"/>
                    <w:suppressOverlap/>
                    <w:jc w:val="center"/>
                    <w:rPr>
                      <w:sz w:val="16"/>
                      <w:szCs w:val="16"/>
                      <w:lang w:eastAsia="it-IT"/>
                    </w:rPr>
                  </w:pPr>
                  <w:r>
                    <w:rPr>
                      <w:sz w:val="16"/>
                      <w:szCs w:val="16"/>
                    </w:rPr>
                    <w:lastRenderedPageBreak/>
                    <w:t>0 – 10 ha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AF3DD20" w14:textId="77777777" w:rsidR="00120DB4" w:rsidRPr="004C2C03" w:rsidRDefault="00120DB4" w:rsidP="00B3207C">
                  <w:pPr>
                    <w:framePr w:hSpace="141" w:wrap="around" w:vAnchor="text" w:hAnchor="text" w:x="-857" w:y="1"/>
                    <w:suppressOverlap/>
                    <w:jc w:val="center"/>
                    <w:rPr>
                      <w:sz w:val="16"/>
                      <w:szCs w:val="16"/>
                      <w:lang w:eastAsia="it-IT"/>
                    </w:rPr>
                  </w:pPr>
                  <w:r>
                    <w:rPr>
                      <w:sz w:val="16"/>
                      <w:szCs w:val="16"/>
                    </w:rPr>
                    <w:t xml:space="preserve">10 </w:t>
                  </w:r>
                  <w:r w:rsidRPr="004C2C03">
                    <w:rPr>
                      <w:sz w:val="16"/>
                      <w:szCs w:val="16"/>
                      <w:lang w:eastAsia="it-IT"/>
                    </w:rPr>
                    <w:t>– 20 ha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876E95E" w14:textId="77777777" w:rsidR="00120DB4" w:rsidRPr="004C2C03" w:rsidRDefault="00120DB4" w:rsidP="00B3207C">
                  <w:pPr>
                    <w:framePr w:hSpace="141" w:wrap="around" w:vAnchor="text" w:hAnchor="text" w:x="-857" w:y="1"/>
                    <w:suppressOverlap/>
                    <w:jc w:val="center"/>
                    <w:rPr>
                      <w:sz w:val="16"/>
                      <w:szCs w:val="16"/>
                      <w:lang w:eastAsia="it-IT"/>
                    </w:rPr>
                  </w:pPr>
                  <w:r w:rsidRPr="004C2C03">
                    <w:rPr>
                      <w:sz w:val="16"/>
                      <w:szCs w:val="16"/>
                      <w:lang w:eastAsia="it-IT"/>
                    </w:rPr>
                    <w:t>&gt; 20 ha</w:t>
                  </w:r>
                </w:p>
              </w:tc>
            </w:tr>
            <w:tr w:rsidR="00120DB4" w:rsidRPr="004C2C03" w14:paraId="7780F75C" w14:textId="77777777" w:rsidTr="00120DB4">
              <w:tc>
                <w:tcPr>
                  <w:tcW w:w="1447" w:type="dxa"/>
                </w:tcPr>
                <w:p w14:paraId="0C5882BF" w14:textId="77777777" w:rsidR="00120DB4" w:rsidRPr="004C2C03" w:rsidRDefault="00120DB4" w:rsidP="00B3207C">
                  <w:pPr>
                    <w:framePr w:hSpace="141" w:wrap="around" w:vAnchor="text" w:hAnchor="text" w:x="-857" w:y="1"/>
                    <w:suppressOverlap/>
                    <w:rPr>
                      <w:sz w:val="16"/>
                      <w:szCs w:val="16"/>
                    </w:rPr>
                  </w:pPr>
                  <w:r w:rsidRPr="004C2C03">
                    <w:rPr>
                      <w:sz w:val="16"/>
                      <w:szCs w:val="16"/>
                    </w:rPr>
                    <w:t>&lt; 10 %</w:t>
                  </w:r>
                </w:p>
              </w:tc>
              <w:tc>
                <w:tcPr>
                  <w:tcW w:w="850" w:type="dxa"/>
                  <w:shd w:val="clear" w:color="auto" w:fill="92D050"/>
                </w:tcPr>
                <w:p w14:paraId="3A9C8E23" w14:textId="77777777" w:rsidR="00120DB4" w:rsidRPr="004C2C03" w:rsidRDefault="00120DB4" w:rsidP="00B3207C">
                  <w:pPr>
                    <w:framePr w:hSpace="141" w:wrap="around" w:vAnchor="text" w:hAnchor="text" w:x="-857" w:y="1"/>
                    <w:suppressOverlap/>
                    <w:jc w:val="center"/>
                    <w:rPr>
                      <w:sz w:val="16"/>
                      <w:szCs w:val="16"/>
                    </w:rPr>
                  </w:pPr>
                  <w:r w:rsidRPr="004C2C03">
                    <w:rPr>
                      <w:sz w:val="16"/>
                      <w:szCs w:val="16"/>
                    </w:rPr>
                    <w:t>40</w:t>
                  </w:r>
                </w:p>
              </w:tc>
              <w:tc>
                <w:tcPr>
                  <w:tcW w:w="992" w:type="dxa"/>
                  <w:shd w:val="clear" w:color="auto" w:fill="92D050"/>
                </w:tcPr>
                <w:p w14:paraId="2305A9C3" w14:textId="77777777" w:rsidR="00120DB4" w:rsidRPr="004C2C03" w:rsidRDefault="00120DB4" w:rsidP="00B3207C">
                  <w:pPr>
                    <w:framePr w:hSpace="141" w:wrap="around" w:vAnchor="text" w:hAnchor="text" w:x="-857" w:y="1"/>
                    <w:suppressOverlap/>
                    <w:jc w:val="center"/>
                    <w:rPr>
                      <w:sz w:val="16"/>
                      <w:szCs w:val="16"/>
                    </w:rPr>
                  </w:pPr>
                  <w:r w:rsidRPr="004C2C03">
                    <w:rPr>
                      <w:sz w:val="16"/>
                      <w:szCs w:val="16"/>
                    </w:rPr>
                    <w:t>30</w:t>
                  </w:r>
                </w:p>
              </w:tc>
              <w:tc>
                <w:tcPr>
                  <w:tcW w:w="851" w:type="dxa"/>
                  <w:shd w:val="clear" w:color="auto" w:fill="92D050"/>
                </w:tcPr>
                <w:p w14:paraId="2B4E5789" w14:textId="77777777" w:rsidR="00120DB4" w:rsidRPr="004C2C03" w:rsidRDefault="00120DB4" w:rsidP="00B3207C">
                  <w:pPr>
                    <w:framePr w:hSpace="141" w:wrap="around" w:vAnchor="text" w:hAnchor="text" w:x="-857" w:y="1"/>
                    <w:suppressOverlap/>
                    <w:jc w:val="center"/>
                    <w:rPr>
                      <w:sz w:val="16"/>
                      <w:szCs w:val="16"/>
                    </w:rPr>
                  </w:pPr>
                  <w:r w:rsidRPr="004C2C03">
                    <w:rPr>
                      <w:sz w:val="16"/>
                      <w:szCs w:val="16"/>
                    </w:rPr>
                    <w:t>25</w:t>
                  </w:r>
                </w:p>
              </w:tc>
            </w:tr>
            <w:tr w:rsidR="00120DB4" w:rsidRPr="004C2C03" w14:paraId="3B5A15FA" w14:textId="77777777" w:rsidTr="00120DB4">
              <w:tc>
                <w:tcPr>
                  <w:tcW w:w="1447" w:type="dxa"/>
                </w:tcPr>
                <w:p w14:paraId="299E8766" w14:textId="77777777" w:rsidR="00120DB4" w:rsidRPr="004C2C03" w:rsidRDefault="00120DB4" w:rsidP="00B3207C">
                  <w:pPr>
                    <w:framePr w:hSpace="141" w:wrap="around" w:vAnchor="text" w:hAnchor="text" w:x="-857" w:y="1"/>
                    <w:suppressOverlap/>
                    <w:rPr>
                      <w:sz w:val="16"/>
                      <w:szCs w:val="16"/>
                    </w:rPr>
                  </w:pPr>
                  <w:r w:rsidRPr="004C2C03">
                    <w:rPr>
                      <w:sz w:val="16"/>
                      <w:szCs w:val="16"/>
                    </w:rPr>
                    <w:t>10 – 20 %</w:t>
                  </w:r>
                </w:p>
              </w:tc>
              <w:tc>
                <w:tcPr>
                  <w:tcW w:w="850" w:type="dxa"/>
                  <w:shd w:val="clear" w:color="auto" w:fill="92D050"/>
                </w:tcPr>
                <w:p w14:paraId="41BD1B03" w14:textId="77777777" w:rsidR="00120DB4" w:rsidRPr="004C2C03" w:rsidRDefault="00120DB4" w:rsidP="00B3207C">
                  <w:pPr>
                    <w:framePr w:hSpace="141" w:wrap="around" w:vAnchor="text" w:hAnchor="text" w:x="-857" w:y="1"/>
                    <w:suppressOverlap/>
                    <w:jc w:val="center"/>
                    <w:rPr>
                      <w:sz w:val="16"/>
                      <w:szCs w:val="16"/>
                    </w:rPr>
                  </w:pPr>
                  <w:r w:rsidRPr="004C2C03">
                    <w:rPr>
                      <w:sz w:val="16"/>
                      <w:szCs w:val="16"/>
                    </w:rPr>
                    <w:t>70</w:t>
                  </w:r>
                </w:p>
              </w:tc>
              <w:tc>
                <w:tcPr>
                  <w:tcW w:w="992" w:type="dxa"/>
                  <w:shd w:val="clear" w:color="auto" w:fill="92D050"/>
                </w:tcPr>
                <w:p w14:paraId="0EC21C75" w14:textId="77777777" w:rsidR="00120DB4" w:rsidRPr="004C2C03" w:rsidRDefault="00120DB4" w:rsidP="00B3207C">
                  <w:pPr>
                    <w:framePr w:hSpace="141" w:wrap="around" w:vAnchor="text" w:hAnchor="text" w:x="-857" w:y="1"/>
                    <w:suppressOverlap/>
                    <w:jc w:val="center"/>
                    <w:rPr>
                      <w:sz w:val="16"/>
                      <w:szCs w:val="16"/>
                    </w:rPr>
                  </w:pPr>
                  <w:r w:rsidRPr="004C2C03">
                    <w:rPr>
                      <w:sz w:val="16"/>
                      <w:szCs w:val="16"/>
                    </w:rPr>
                    <w:t>50</w:t>
                  </w:r>
                </w:p>
              </w:tc>
              <w:tc>
                <w:tcPr>
                  <w:tcW w:w="851" w:type="dxa"/>
                  <w:shd w:val="clear" w:color="auto" w:fill="92D050"/>
                </w:tcPr>
                <w:p w14:paraId="47CA6A3A" w14:textId="77777777" w:rsidR="00120DB4" w:rsidRPr="004C2C03" w:rsidRDefault="00120DB4" w:rsidP="00B3207C">
                  <w:pPr>
                    <w:framePr w:hSpace="141" w:wrap="around" w:vAnchor="text" w:hAnchor="text" w:x="-857" w:y="1"/>
                    <w:suppressOverlap/>
                    <w:jc w:val="center"/>
                    <w:rPr>
                      <w:sz w:val="16"/>
                      <w:szCs w:val="16"/>
                    </w:rPr>
                  </w:pPr>
                  <w:r w:rsidRPr="004C2C03">
                    <w:rPr>
                      <w:sz w:val="16"/>
                      <w:szCs w:val="16"/>
                    </w:rPr>
                    <w:t>45</w:t>
                  </w:r>
                </w:p>
              </w:tc>
            </w:tr>
            <w:tr w:rsidR="00120DB4" w:rsidRPr="004C2C03" w14:paraId="18E8A465" w14:textId="77777777" w:rsidTr="00120DB4">
              <w:tc>
                <w:tcPr>
                  <w:tcW w:w="1447" w:type="dxa"/>
                </w:tcPr>
                <w:p w14:paraId="0A09E8AC" w14:textId="77777777" w:rsidR="00120DB4" w:rsidRPr="004C2C03" w:rsidRDefault="00120DB4" w:rsidP="00B3207C">
                  <w:pPr>
                    <w:framePr w:hSpace="141" w:wrap="around" w:vAnchor="text" w:hAnchor="text" w:x="-857" w:y="1"/>
                    <w:suppressOverlap/>
                    <w:rPr>
                      <w:sz w:val="16"/>
                      <w:szCs w:val="16"/>
                    </w:rPr>
                  </w:pPr>
                  <w:r w:rsidRPr="004C2C03">
                    <w:rPr>
                      <w:sz w:val="16"/>
                      <w:szCs w:val="16"/>
                    </w:rPr>
                    <w:t>&gt;20 %</w:t>
                  </w:r>
                </w:p>
              </w:tc>
              <w:tc>
                <w:tcPr>
                  <w:tcW w:w="850" w:type="dxa"/>
                  <w:shd w:val="clear" w:color="auto" w:fill="92D050"/>
                </w:tcPr>
                <w:p w14:paraId="392FC196" w14:textId="77777777" w:rsidR="00120DB4" w:rsidRPr="004C2C03" w:rsidRDefault="00120DB4" w:rsidP="00B3207C">
                  <w:pPr>
                    <w:framePr w:hSpace="141" w:wrap="around" w:vAnchor="text" w:hAnchor="text" w:x="-857" w:y="1"/>
                    <w:suppressOverlap/>
                    <w:jc w:val="center"/>
                    <w:rPr>
                      <w:sz w:val="16"/>
                      <w:szCs w:val="16"/>
                    </w:rPr>
                  </w:pPr>
                  <w:r w:rsidRPr="004C2C03">
                    <w:rPr>
                      <w:sz w:val="16"/>
                      <w:szCs w:val="16"/>
                    </w:rPr>
                    <w:t>120</w:t>
                  </w:r>
                </w:p>
              </w:tc>
              <w:tc>
                <w:tcPr>
                  <w:tcW w:w="992" w:type="dxa"/>
                  <w:shd w:val="clear" w:color="auto" w:fill="92D050"/>
                </w:tcPr>
                <w:p w14:paraId="78226CAF" w14:textId="77777777" w:rsidR="00120DB4" w:rsidRPr="004C2C03" w:rsidRDefault="00120DB4" w:rsidP="00B3207C">
                  <w:pPr>
                    <w:framePr w:hSpace="141" w:wrap="around" w:vAnchor="text" w:hAnchor="text" w:x="-857" w:y="1"/>
                    <w:suppressOverlap/>
                    <w:jc w:val="center"/>
                    <w:rPr>
                      <w:sz w:val="16"/>
                      <w:szCs w:val="16"/>
                    </w:rPr>
                  </w:pPr>
                  <w:r w:rsidRPr="004C2C03">
                    <w:rPr>
                      <w:sz w:val="16"/>
                      <w:szCs w:val="16"/>
                    </w:rPr>
                    <w:t>85</w:t>
                  </w:r>
                </w:p>
              </w:tc>
              <w:tc>
                <w:tcPr>
                  <w:tcW w:w="851" w:type="dxa"/>
                  <w:shd w:val="clear" w:color="auto" w:fill="92D050"/>
                </w:tcPr>
                <w:p w14:paraId="5BB06391" w14:textId="77777777" w:rsidR="00120DB4" w:rsidRPr="004C2C03" w:rsidRDefault="00120DB4" w:rsidP="00B3207C">
                  <w:pPr>
                    <w:framePr w:hSpace="141" w:wrap="around" w:vAnchor="text" w:hAnchor="text" w:x="-857" w:y="1"/>
                    <w:suppressOverlap/>
                    <w:jc w:val="center"/>
                    <w:rPr>
                      <w:sz w:val="16"/>
                      <w:szCs w:val="16"/>
                    </w:rPr>
                  </w:pPr>
                  <w:r w:rsidRPr="004C2C03">
                    <w:rPr>
                      <w:sz w:val="16"/>
                      <w:szCs w:val="16"/>
                    </w:rPr>
                    <w:t>80</w:t>
                  </w:r>
                </w:p>
              </w:tc>
            </w:tr>
          </w:tbl>
          <w:p w14:paraId="2FF76DB1" w14:textId="77777777" w:rsidR="00DC6CE6" w:rsidRDefault="00DC6CE6" w:rsidP="00A14903">
            <w:pPr>
              <w:jc w:val="both"/>
              <w:rPr>
                <w:rFonts w:asciiTheme="minorHAnsi" w:hAnsiTheme="minorHAnsi"/>
                <w:color w:val="auto"/>
                <w:sz w:val="20"/>
                <w:szCs w:val="20"/>
                <w:shd w:val="clear" w:color="auto" w:fill="FFFFFF"/>
              </w:rPr>
            </w:pPr>
          </w:p>
          <w:p w14:paraId="4237DF37" w14:textId="77777777" w:rsidR="00120DB4" w:rsidRPr="00EA65CF" w:rsidRDefault="00120DB4" w:rsidP="00120DB4">
            <w:pPr>
              <w:ind w:left="198" w:hanging="198"/>
              <w:rPr>
                <w:sz w:val="20"/>
                <w:szCs w:val="20"/>
                <w:shd w:val="clear" w:color="auto" w:fill="FFFFFF"/>
              </w:rPr>
            </w:pPr>
            <w:r w:rsidRPr="00A14903">
              <w:rPr>
                <w:rFonts w:eastAsia="Times New Roman" w:cs="Times New Roman"/>
                <w:b/>
                <w:bCs/>
                <w:color w:val="000000"/>
                <w:sz w:val="18"/>
                <w:szCs w:val="18"/>
                <w:lang w:eastAsia="it-IT"/>
              </w:rPr>
              <w:t>Sistema agricolo frutticoltura specializzata</w:t>
            </w:r>
          </w:p>
          <w:tbl>
            <w:tblPr>
              <w:tblStyle w:val="Grigliatabella"/>
              <w:tblpPr w:leftFromText="141" w:rightFromText="141" w:vertAnchor="text" w:tblpY="1"/>
              <w:tblOverlap w:val="never"/>
              <w:tblW w:w="0" w:type="auto"/>
              <w:tblLook w:val="04A0" w:firstRow="1" w:lastRow="0" w:firstColumn="1" w:lastColumn="0" w:noHBand="0" w:noVBand="1"/>
            </w:tblPr>
            <w:tblGrid>
              <w:gridCol w:w="1980"/>
              <w:gridCol w:w="850"/>
              <w:gridCol w:w="851"/>
              <w:gridCol w:w="709"/>
            </w:tblGrid>
            <w:tr w:rsidR="00120DB4" w:rsidRPr="004C2C03" w14:paraId="6F70D338" w14:textId="77777777" w:rsidTr="00A942BA">
              <w:tc>
                <w:tcPr>
                  <w:tcW w:w="1980" w:type="dxa"/>
                  <w:tcBorders>
                    <w:bottom w:val="single" w:sz="4" w:space="0" w:color="auto"/>
                  </w:tcBorders>
                  <w:shd w:val="clear" w:color="auto" w:fill="006600"/>
                </w:tcPr>
                <w:p w14:paraId="747B187E" w14:textId="77777777" w:rsidR="00120DB4" w:rsidRPr="004C2C03" w:rsidRDefault="00120DB4" w:rsidP="00120DB4">
                  <w:pPr>
                    <w:rPr>
                      <w:color w:val="FFFFFF" w:themeColor="background1"/>
                      <w:sz w:val="16"/>
                      <w:szCs w:val="16"/>
                    </w:rPr>
                  </w:pPr>
                  <w:r w:rsidRPr="004C2C03">
                    <w:rPr>
                      <w:color w:val="FFFFFF" w:themeColor="background1"/>
                      <w:sz w:val="16"/>
                      <w:szCs w:val="16"/>
                    </w:rPr>
                    <w:t>Coltura</w:t>
                  </w:r>
                </w:p>
              </w:tc>
              <w:tc>
                <w:tcPr>
                  <w:tcW w:w="2410" w:type="dxa"/>
                  <w:gridSpan w:val="3"/>
                  <w:tcBorders>
                    <w:bottom w:val="single" w:sz="4" w:space="0" w:color="auto"/>
                  </w:tcBorders>
                  <w:shd w:val="clear" w:color="auto" w:fill="006600"/>
                </w:tcPr>
                <w:p w14:paraId="31679FF9" w14:textId="77777777" w:rsidR="00120DB4" w:rsidRPr="004C2C03" w:rsidRDefault="00120DB4" w:rsidP="00120DB4">
                  <w:pPr>
                    <w:jc w:val="center"/>
                    <w:rPr>
                      <w:color w:val="FFFFFF" w:themeColor="background1"/>
                      <w:sz w:val="16"/>
                      <w:szCs w:val="16"/>
                    </w:rPr>
                  </w:pPr>
                  <w:r w:rsidRPr="004C2C03">
                    <w:rPr>
                      <w:color w:val="FFFFFF" w:themeColor="background1"/>
                      <w:sz w:val="16"/>
                      <w:szCs w:val="16"/>
                    </w:rPr>
                    <w:t>Totale indennità (€/ha)</w:t>
                  </w:r>
                </w:p>
              </w:tc>
            </w:tr>
            <w:tr w:rsidR="00120DB4" w:rsidRPr="004C2C03" w14:paraId="28692154" w14:textId="77777777" w:rsidTr="00A942BA">
              <w:tc>
                <w:tcPr>
                  <w:tcW w:w="1980" w:type="dxa"/>
                  <w:tcBorders>
                    <w:top w:val="single" w:sz="4" w:space="0" w:color="auto"/>
                    <w:left w:val="single" w:sz="4" w:space="0" w:color="auto"/>
                    <w:bottom w:val="single" w:sz="4" w:space="0" w:color="auto"/>
                    <w:right w:val="single" w:sz="4" w:space="0" w:color="auto"/>
                  </w:tcBorders>
                  <w:shd w:val="clear" w:color="auto" w:fill="auto"/>
                </w:tcPr>
                <w:p w14:paraId="5663FB49" w14:textId="77777777" w:rsidR="00120DB4" w:rsidRPr="004C2C03" w:rsidRDefault="00120DB4" w:rsidP="00120DB4">
                  <w:pPr>
                    <w:rPr>
                      <w:sz w:val="16"/>
                      <w:szCs w:val="16"/>
                    </w:rPr>
                  </w:pPr>
                  <w:r w:rsidRPr="004C2C03">
                    <w:rPr>
                      <w:sz w:val="16"/>
                      <w:szCs w:val="16"/>
                    </w:rPr>
                    <w:t>Classe di superficie</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4AC07BE" w14:textId="77777777" w:rsidR="00120DB4" w:rsidRPr="004C2C03" w:rsidRDefault="00120DB4" w:rsidP="00120DB4">
                  <w:pPr>
                    <w:jc w:val="center"/>
                    <w:rPr>
                      <w:sz w:val="16"/>
                      <w:szCs w:val="16"/>
                    </w:rPr>
                  </w:pPr>
                  <w:r w:rsidRPr="004C2C03">
                    <w:rPr>
                      <w:sz w:val="16"/>
                      <w:szCs w:val="16"/>
                    </w:rPr>
                    <w:t>0 – 5 ha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6B1F743" w14:textId="77777777" w:rsidR="00120DB4" w:rsidRPr="004C2C03" w:rsidRDefault="00120DB4" w:rsidP="00120DB4">
                  <w:pPr>
                    <w:jc w:val="center"/>
                    <w:rPr>
                      <w:sz w:val="16"/>
                      <w:szCs w:val="16"/>
                    </w:rPr>
                  </w:pPr>
                  <w:r w:rsidRPr="004C2C03">
                    <w:rPr>
                      <w:sz w:val="16"/>
                      <w:szCs w:val="16"/>
                    </w:rPr>
                    <w:t>5 – 10 ha</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467AD1D" w14:textId="77777777" w:rsidR="00120DB4" w:rsidRPr="004C2C03" w:rsidRDefault="00120DB4" w:rsidP="00120DB4">
                  <w:pPr>
                    <w:jc w:val="center"/>
                    <w:rPr>
                      <w:sz w:val="16"/>
                      <w:szCs w:val="16"/>
                    </w:rPr>
                  </w:pPr>
                  <w:r w:rsidRPr="004C2C03">
                    <w:rPr>
                      <w:sz w:val="16"/>
                      <w:szCs w:val="16"/>
                    </w:rPr>
                    <w:t>&gt; 10 ha</w:t>
                  </w:r>
                </w:p>
              </w:tc>
            </w:tr>
            <w:tr w:rsidR="00120DB4" w:rsidRPr="004C2C03" w14:paraId="63409077" w14:textId="77777777" w:rsidTr="00120DB4">
              <w:tc>
                <w:tcPr>
                  <w:tcW w:w="1980" w:type="dxa"/>
                  <w:tcBorders>
                    <w:top w:val="single" w:sz="4" w:space="0" w:color="auto"/>
                    <w:left w:val="single" w:sz="4" w:space="0" w:color="auto"/>
                    <w:bottom w:val="single" w:sz="4" w:space="0" w:color="auto"/>
                    <w:right w:val="single" w:sz="4" w:space="0" w:color="auto"/>
                  </w:tcBorders>
                </w:tcPr>
                <w:p w14:paraId="64306DA7" w14:textId="77777777" w:rsidR="00120DB4" w:rsidRPr="004C2C03" w:rsidRDefault="00120DB4" w:rsidP="00120DB4">
                  <w:pPr>
                    <w:rPr>
                      <w:sz w:val="16"/>
                      <w:szCs w:val="16"/>
                    </w:rPr>
                  </w:pPr>
                  <w:r w:rsidRPr="004C2C03">
                    <w:rPr>
                      <w:sz w:val="16"/>
                      <w:szCs w:val="16"/>
                    </w:rPr>
                    <w:t xml:space="preserve">Frutticoltura specializzata </w:t>
                  </w:r>
                </w:p>
              </w:tc>
              <w:tc>
                <w:tcPr>
                  <w:tcW w:w="850" w:type="dxa"/>
                  <w:tcBorders>
                    <w:top w:val="single" w:sz="4" w:space="0" w:color="auto"/>
                    <w:left w:val="single" w:sz="4" w:space="0" w:color="auto"/>
                    <w:bottom w:val="single" w:sz="4" w:space="0" w:color="auto"/>
                    <w:right w:val="single" w:sz="4" w:space="0" w:color="auto"/>
                  </w:tcBorders>
                  <w:shd w:val="clear" w:color="auto" w:fill="92D050"/>
                </w:tcPr>
                <w:p w14:paraId="30EB8D37" w14:textId="77777777" w:rsidR="00120DB4" w:rsidRPr="004C2C03" w:rsidRDefault="00120DB4" w:rsidP="00120DB4">
                  <w:pPr>
                    <w:jc w:val="center"/>
                    <w:rPr>
                      <w:sz w:val="16"/>
                      <w:szCs w:val="16"/>
                    </w:rPr>
                  </w:pPr>
                  <w:r w:rsidRPr="004C2C03">
                    <w:rPr>
                      <w:sz w:val="16"/>
                      <w:szCs w:val="16"/>
                    </w:rPr>
                    <w:t>180</w:t>
                  </w:r>
                </w:p>
              </w:tc>
              <w:tc>
                <w:tcPr>
                  <w:tcW w:w="851" w:type="dxa"/>
                  <w:tcBorders>
                    <w:top w:val="single" w:sz="4" w:space="0" w:color="auto"/>
                    <w:left w:val="single" w:sz="4" w:space="0" w:color="auto"/>
                    <w:bottom w:val="single" w:sz="4" w:space="0" w:color="auto"/>
                    <w:right w:val="single" w:sz="4" w:space="0" w:color="auto"/>
                  </w:tcBorders>
                  <w:shd w:val="clear" w:color="auto" w:fill="92D050"/>
                </w:tcPr>
                <w:p w14:paraId="57953FE2" w14:textId="77777777" w:rsidR="00120DB4" w:rsidRPr="004C2C03" w:rsidRDefault="00120DB4" w:rsidP="00120DB4">
                  <w:pPr>
                    <w:jc w:val="center"/>
                    <w:rPr>
                      <w:sz w:val="16"/>
                      <w:szCs w:val="16"/>
                    </w:rPr>
                  </w:pPr>
                  <w:r w:rsidRPr="004C2C03">
                    <w:rPr>
                      <w:sz w:val="16"/>
                      <w:szCs w:val="16"/>
                    </w:rPr>
                    <w:t>160</w:t>
                  </w:r>
                </w:p>
              </w:tc>
              <w:tc>
                <w:tcPr>
                  <w:tcW w:w="709" w:type="dxa"/>
                  <w:tcBorders>
                    <w:top w:val="single" w:sz="4" w:space="0" w:color="auto"/>
                    <w:left w:val="single" w:sz="4" w:space="0" w:color="auto"/>
                    <w:bottom w:val="single" w:sz="4" w:space="0" w:color="auto"/>
                    <w:right w:val="single" w:sz="4" w:space="0" w:color="auto"/>
                  </w:tcBorders>
                  <w:shd w:val="clear" w:color="auto" w:fill="92D050"/>
                </w:tcPr>
                <w:p w14:paraId="13C0B731" w14:textId="77777777" w:rsidR="00120DB4" w:rsidRPr="004C2C03" w:rsidRDefault="00120DB4" w:rsidP="00120DB4">
                  <w:pPr>
                    <w:jc w:val="center"/>
                    <w:rPr>
                      <w:sz w:val="16"/>
                      <w:szCs w:val="16"/>
                    </w:rPr>
                  </w:pPr>
                  <w:r w:rsidRPr="004C2C03">
                    <w:rPr>
                      <w:sz w:val="16"/>
                      <w:szCs w:val="16"/>
                    </w:rPr>
                    <w:t>90</w:t>
                  </w:r>
                </w:p>
              </w:tc>
            </w:tr>
            <w:tr w:rsidR="00120DB4" w:rsidRPr="004C2C03" w14:paraId="6449F416" w14:textId="77777777" w:rsidTr="00120DB4">
              <w:tc>
                <w:tcPr>
                  <w:tcW w:w="1980" w:type="dxa"/>
                  <w:tcBorders>
                    <w:top w:val="single" w:sz="4" w:space="0" w:color="auto"/>
                    <w:left w:val="single" w:sz="4" w:space="0" w:color="auto"/>
                    <w:bottom w:val="single" w:sz="4" w:space="0" w:color="auto"/>
                    <w:right w:val="single" w:sz="4" w:space="0" w:color="auto"/>
                  </w:tcBorders>
                </w:tcPr>
                <w:p w14:paraId="3EF311E0" w14:textId="77777777" w:rsidR="00120DB4" w:rsidRPr="004C2C03" w:rsidRDefault="00120DB4" w:rsidP="00120DB4">
                  <w:pPr>
                    <w:rPr>
                      <w:sz w:val="16"/>
                      <w:szCs w:val="16"/>
                    </w:rPr>
                  </w:pPr>
                  <w:r w:rsidRPr="004C2C03">
                    <w:rPr>
                      <w:sz w:val="16"/>
                      <w:szCs w:val="16"/>
                    </w:rPr>
                    <w:t>Frutticoltura specializzata - terrazzamento</w:t>
                  </w:r>
                </w:p>
              </w:tc>
              <w:tc>
                <w:tcPr>
                  <w:tcW w:w="850" w:type="dxa"/>
                  <w:tcBorders>
                    <w:top w:val="single" w:sz="4" w:space="0" w:color="auto"/>
                    <w:left w:val="single" w:sz="4" w:space="0" w:color="auto"/>
                    <w:bottom w:val="single" w:sz="4" w:space="0" w:color="auto"/>
                    <w:right w:val="single" w:sz="4" w:space="0" w:color="auto"/>
                  </w:tcBorders>
                  <w:shd w:val="clear" w:color="auto" w:fill="92D050"/>
                </w:tcPr>
                <w:p w14:paraId="0E01A6C1" w14:textId="77777777" w:rsidR="00120DB4" w:rsidRPr="004C2C03" w:rsidRDefault="00120DB4" w:rsidP="00120DB4">
                  <w:pPr>
                    <w:jc w:val="center"/>
                    <w:rPr>
                      <w:sz w:val="16"/>
                      <w:szCs w:val="16"/>
                    </w:rPr>
                  </w:pPr>
                  <w:r w:rsidRPr="004C2C03">
                    <w:rPr>
                      <w:sz w:val="16"/>
                      <w:szCs w:val="16"/>
                    </w:rPr>
                    <w:t>450</w:t>
                  </w:r>
                </w:p>
              </w:tc>
              <w:tc>
                <w:tcPr>
                  <w:tcW w:w="851" w:type="dxa"/>
                  <w:tcBorders>
                    <w:top w:val="single" w:sz="4" w:space="0" w:color="auto"/>
                    <w:left w:val="single" w:sz="4" w:space="0" w:color="auto"/>
                    <w:bottom w:val="single" w:sz="4" w:space="0" w:color="auto"/>
                    <w:right w:val="single" w:sz="4" w:space="0" w:color="auto"/>
                  </w:tcBorders>
                  <w:shd w:val="clear" w:color="auto" w:fill="92D050"/>
                </w:tcPr>
                <w:p w14:paraId="7066EE8F" w14:textId="77777777" w:rsidR="00120DB4" w:rsidRPr="004C2C03" w:rsidRDefault="00120DB4" w:rsidP="00120DB4">
                  <w:pPr>
                    <w:jc w:val="center"/>
                    <w:rPr>
                      <w:sz w:val="16"/>
                      <w:szCs w:val="16"/>
                    </w:rPr>
                  </w:pPr>
                  <w:r w:rsidRPr="004C2C03">
                    <w:rPr>
                      <w:sz w:val="16"/>
                      <w:szCs w:val="16"/>
                    </w:rPr>
                    <w:t>400</w:t>
                  </w:r>
                </w:p>
              </w:tc>
              <w:tc>
                <w:tcPr>
                  <w:tcW w:w="709" w:type="dxa"/>
                  <w:tcBorders>
                    <w:top w:val="single" w:sz="4" w:space="0" w:color="auto"/>
                    <w:left w:val="single" w:sz="4" w:space="0" w:color="auto"/>
                    <w:bottom w:val="single" w:sz="4" w:space="0" w:color="auto"/>
                    <w:right w:val="single" w:sz="4" w:space="0" w:color="auto"/>
                  </w:tcBorders>
                  <w:shd w:val="clear" w:color="auto" w:fill="92D050"/>
                </w:tcPr>
                <w:p w14:paraId="37DAE9D9" w14:textId="77777777" w:rsidR="00120DB4" w:rsidRPr="004C2C03" w:rsidRDefault="00120DB4" w:rsidP="00120DB4">
                  <w:pPr>
                    <w:jc w:val="center"/>
                    <w:rPr>
                      <w:sz w:val="16"/>
                      <w:szCs w:val="16"/>
                    </w:rPr>
                  </w:pPr>
                  <w:r w:rsidRPr="004C2C03">
                    <w:rPr>
                      <w:sz w:val="16"/>
                      <w:szCs w:val="16"/>
                    </w:rPr>
                    <w:t>225</w:t>
                  </w:r>
                </w:p>
              </w:tc>
            </w:tr>
          </w:tbl>
          <w:p w14:paraId="0425CA0F" w14:textId="77777777" w:rsidR="00DC6CE6" w:rsidRDefault="00DC6CE6" w:rsidP="00A14903">
            <w:pPr>
              <w:jc w:val="both"/>
              <w:rPr>
                <w:rFonts w:asciiTheme="minorHAnsi" w:hAnsiTheme="minorHAnsi"/>
                <w:color w:val="auto"/>
                <w:sz w:val="20"/>
                <w:szCs w:val="20"/>
                <w:shd w:val="clear" w:color="auto" w:fill="FFFFFF"/>
              </w:rPr>
            </w:pPr>
          </w:p>
          <w:p w14:paraId="38C561AA" w14:textId="77777777" w:rsidR="00120DB4" w:rsidRDefault="00120DB4" w:rsidP="00A14903">
            <w:pPr>
              <w:jc w:val="both"/>
              <w:rPr>
                <w:rFonts w:asciiTheme="minorHAnsi" w:hAnsiTheme="minorHAnsi"/>
                <w:color w:val="auto"/>
                <w:sz w:val="20"/>
                <w:szCs w:val="20"/>
                <w:shd w:val="clear" w:color="auto" w:fill="FFFFFF"/>
              </w:rPr>
            </w:pPr>
          </w:p>
          <w:p w14:paraId="074083CA" w14:textId="77777777" w:rsidR="00120DB4" w:rsidRDefault="00120DB4" w:rsidP="00A14903">
            <w:pPr>
              <w:jc w:val="both"/>
              <w:rPr>
                <w:rFonts w:asciiTheme="minorHAnsi" w:hAnsiTheme="minorHAnsi"/>
                <w:color w:val="auto"/>
                <w:sz w:val="20"/>
                <w:szCs w:val="20"/>
                <w:shd w:val="clear" w:color="auto" w:fill="FFFFFF"/>
              </w:rPr>
            </w:pPr>
          </w:p>
          <w:p w14:paraId="510C855E" w14:textId="77777777" w:rsidR="00120DB4" w:rsidRDefault="00120DB4" w:rsidP="00A14903">
            <w:pPr>
              <w:jc w:val="both"/>
              <w:rPr>
                <w:rFonts w:asciiTheme="minorHAnsi" w:hAnsiTheme="minorHAnsi"/>
                <w:color w:val="auto"/>
                <w:sz w:val="20"/>
                <w:szCs w:val="20"/>
                <w:shd w:val="clear" w:color="auto" w:fill="FFFFFF"/>
              </w:rPr>
            </w:pPr>
          </w:p>
          <w:p w14:paraId="68654EB2" w14:textId="77777777" w:rsidR="00120DB4" w:rsidRDefault="00120DB4" w:rsidP="00A14903">
            <w:pPr>
              <w:jc w:val="both"/>
              <w:rPr>
                <w:rFonts w:asciiTheme="minorHAnsi" w:hAnsiTheme="minorHAnsi"/>
                <w:color w:val="auto"/>
                <w:sz w:val="20"/>
                <w:szCs w:val="20"/>
                <w:shd w:val="clear" w:color="auto" w:fill="FFFFFF"/>
              </w:rPr>
            </w:pPr>
          </w:p>
          <w:p w14:paraId="118903EB" w14:textId="77777777" w:rsidR="00120DB4" w:rsidRDefault="00120DB4" w:rsidP="00A14903">
            <w:pPr>
              <w:jc w:val="both"/>
              <w:rPr>
                <w:rFonts w:asciiTheme="minorHAnsi" w:hAnsiTheme="minorHAnsi"/>
                <w:color w:val="auto"/>
                <w:sz w:val="20"/>
                <w:szCs w:val="20"/>
                <w:shd w:val="clear" w:color="auto" w:fill="FFFFFF"/>
              </w:rPr>
            </w:pPr>
          </w:p>
          <w:p w14:paraId="50680E82" w14:textId="77777777" w:rsidR="00A14903" w:rsidRPr="00A14903" w:rsidRDefault="00A14903" w:rsidP="00A14903">
            <w:pPr>
              <w:jc w:val="both"/>
              <w:rPr>
                <w:b/>
                <w:sz w:val="20"/>
                <w:szCs w:val="20"/>
                <w:u w:val="single"/>
                <w:shd w:val="clear" w:color="auto" w:fill="FFFFFF"/>
              </w:rPr>
            </w:pPr>
            <w:r w:rsidRPr="00A14903">
              <w:rPr>
                <w:b/>
                <w:sz w:val="20"/>
                <w:szCs w:val="20"/>
                <w:u w:val="single"/>
                <w:shd w:val="clear" w:color="auto" w:fill="FFFFFF"/>
              </w:rPr>
              <w:t>Nuovi valori dei premi</w:t>
            </w:r>
          </w:p>
          <w:p w14:paraId="43017DA6" w14:textId="77777777" w:rsidR="00A14903" w:rsidRPr="00A14903" w:rsidRDefault="00A14903" w:rsidP="00A14903">
            <w:pPr>
              <w:jc w:val="both"/>
              <w:rPr>
                <w:sz w:val="20"/>
                <w:szCs w:val="20"/>
                <w:shd w:val="clear" w:color="auto" w:fill="FFFFFF"/>
              </w:rPr>
            </w:pPr>
          </w:p>
          <w:p w14:paraId="2B3E1CC7" w14:textId="77777777" w:rsidR="00A14903" w:rsidRPr="00896850" w:rsidRDefault="00A14903" w:rsidP="00A14903">
            <w:pPr>
              <w:spacing w:after="120"/>
              <w:rPr>
                <w:rFonts w:eastAsia="Times New Roman" w:cs="Times New Roman"/>
                <w:b/>
                <w:bCs/>
                <w:color w:val="000000"/>
                <w:sz w:val="18"/>
                <w:szCs w:val="18"/>
                <w:lang w:eastAsia="it-IT"/>
              </w:rPr>
            </w:pPr>
            <w:r>
              <w:rPr>
                <w:rFonts w:eastAsia="Times New Roman" w:cs="Times New Roman"/>
                <w:b/>
                <w:bCs/>
                <w:color w:val="000000"/>
                <w:sz w:val="16"/>
                <w:szCs w:val="16"/>
                <w:lang w:eastAsia="it-IT"/>
              </w:rPr>
              <w:t xml:space="preserve">       </w:t>
            </w:r>
            <w:r w:rsidRPr="00896850">
              <w:rPr>
                <w:rFonts w:eastAsia="Times New Roman" w:cs="Times New Roman"/>
                <w:b/>
                <w:bCs/>
                <w:color w:val="000000"/>
                <w:sz w:val="18"/>
                <w:szCs w:val="18"/>
                <w:lang w:eastAsia="it-IT"/>
              </w:rPr>
              <w:t>Sistema agricolo zootecnico estensivo. Pascoli</w:t>
            </w:r>
          </w:p>
          <w:tbl>
            <w:tblPr>
              <w:tblW w:w="4961" w:type="dxa"/>
              <w:tblInd w:w="274" w:type="dxa"/>
              <w:tblCellMar>
                <w:left w:w="70" w:type="dxa"/>
                <w:right w:w="70" w:type="dxa"/>
              </w:tblCellMar>
              <w:tblLook w:val="04A0" w:firstRow="1" w:lastRow="0" w:firstColumn="1" w:lastColumn="0" w:noHBand="0" w:noVBand="1"/>
            </w:tblPr>
            <w:tblGrid>
              <w:gridCol w:w="2410"/>
              <w:gridCol w:w="850"/>
              <w:gridCol w:w="851"/>
              <w:gridCol w:w="850"/>
            </w:tblGrid>
            <w:tr w:rsidR="00A14903" w:rsidRPr="00DC6CE6" w14:paraId="55013216" w14:textId="77777777" w:rsidTr="00120DB4">
              <w:trPr>
                <w:trHeight w:val="315"/>
              </w:trPr>
              <w:tc>
                <w:tcPr>
                  <w:tcW w:w="2410" w:type="dxa"/>
                  <w:tcBorders>
                    <w:top w:val="single" w:sz="8" w:space="0" w:color="auto"/>
                    <w:left w:val="single" w:sz="8" w:space="0" w:color="auto"/>
                    <w:bottom w:val="single" w:sz="8" w:space="0" w:color="auto"/>
                    <w:right w:val="single" w:sz="8" w:space="0" w:color="auto"/>
                  </w:tcBorders>
                  <w:shd w:val="clear" w:color="000000" w:fill="006600"/>
                  <w:vAlign w:val="center"/>
                  <w:hideMark/>
                </w:tcPr>
                <w:p w14:paraId="08E2BF1C" w14:textId="77777777" w:rsidR="00A14903" w:rsidRPr="00DC6CE6" w:rsidRDefault="00A14903" w:rsidP="00B3207C">
                  <w:pPr>
                    <w:framePr w:hSpace="141" w:wrap="around" w:vAnchor="text" w:hAnchor="text" w:x="-857" w:y="1"/>
                    <w:suppressOverlap/>
                    <w:rPr>
                      <w:rFonts w:eastAsia="Times New Roman" w:cs="Times New Roman"/>
                      <w:bCs/>
                      <w:color w:val="auto"/>
                      <w:sz w:val="16"/>
                      <w:szCs w:val="16"/>
                      <w:lang w:eastAsia="it-IT"/>
                    </w:rPr>
                  </w:pPr>
                  <w:r w:rsidRPr="00DC6CE6">
                    <w:rPr>
                      <w:rFonts w:eastAsia="Times New Roman" w:cs="Times New Roman"/>
                      <w:bCs/>
                      <w:color w:val="auto"/>
                      <w:sz w:val="16"/>
                      <w:szCs w:val="16"/>
                      <w:lang w:eastAsia="it-IT"/>
                    </w:rPr>
                    <w:t>Pascolo</w:t>
                  </w:r>
                </w:p>
              </w:tc>
              <w:tc>
                <w:tcPr>
                  <w:tcW w:w="2551" w:type="dxa"/>
                  <w:gridSpan w:val="3"/>
                  <w:tcBorders>
                    <w:top w:val="single" w:sz="8" w:space="0" w:color="auto"/>
                    <w:left w:val="nil"/>
                    <w:bottom w:val="single" w:sz="8" w:space="0" w:color="auto"/>
                    <w:right w:val="single" w:sz="8" w:space="0" w:color="000000"/>
                  </w:tcBorders>
                  <w:shd w:val="clear" w:color="000000" w:fill="006600"/>
                  <w:vAlign w:val="center"/>
                  <w:hideMark/>
                </w:tcPr>
                <w:p w14:paraId="7DCA4D37" w14:textId="77777777" w:rsidR="00A14903" w:rsidRPr="00DC6CE6" w:rsidRDefault="00A14903" w:rsidP="00B3207C">
                  <w:pPr>
                    <w:framePr w:hSpace="141" w:wrap="around" w:vAnchor="text" w:hAnchor="text" w:x="-857" w:y="1"/>
                    <w:suppressOverlap/>
                    <w:jc w:val="center"/>
                    <w:rPr>
                      <w:rFonts w:eastAsia="Times New Roman" w:cs="Times New Roman"/>
                      <w:bCs/>
                      <w:color w:val="auto"/>
                      <w:sz w:val="16"/>
                      <w:szCs w:val="16"/>
                      <w:lang w:eastAsia="it-IT"/>
                    </w:rPr>
                  </w:pPr>
                  <w:r w:rsidRPr="00DC6CE6">
                    <w:rPr>
                      <w:rFonts w:eastAsia="Times New Roman" w:cs="Times New Roman"/>
                      <w:bCs/>
                      <w:color w:val="auto"/>
                      <w:sz w:val="16"/>
                      <w:szCs w:val="16"/>
                      <w:lang w:eastAsia="it-IT"/>
                    </w:rPr>
                    <w:t>Totale indennità (€/ha)</w:t>
                  </w:r>
                </w:p>
              </w:tc>
            </w:tr>
            <w:tr w:rsidR="00A14903" w:rsidRPr="00DC6CE6" w14:paraId="306BA140" w14:textId="77777777" w:rsidTr="00120DB4">
              <w:trPr>
                <w:trHeight w:val="315"/>
              </w:trPr>
              <w:tc>
                <w:tcPr>
                  <w:tcW w:w="2410" w:type="dxa"/>
                  <w:tcBorders>
                    <w:top w:val="nil"/>
                    <w:left w:val="single" w:sz="8" w:space="0" w:color="auto"/>
                    <w:bottom w:val="single" w:sz="8" w:space="0" w:color="auto"/>
                    <w:right w:val="single" w:sz="8" w:space="0" w:color="auto"/>
                  </w:tcBorders>
                  <w:shd w:val="clear" w:color="auto" w:fill="auto"/>
                  <w:vAlign w:val="center"/>
                  <w:hideMark/>
                </w:tcPr>
                <w:p w14:paraId="29EB609E" w14:textId="77777777" w:rsidR="00A14903" w:rsidRPr="00DC6CE6" w:rsidRDefault="00A14903" w:rsidP="00B3207C">
                  <w:pPr>
                    <w:framePr w:hSpace="141" w:wrap="around" w:vAnchor="text" w:hAnchor="text" w:x="-857" w:y="1"/>
                    <w:suppressOverlap/>
                    <w:rPr>
                      <w:rFonts w:eastAsia="Times New Roman" w:cs="Times New Roman"/>
                      <w:bCs/>
                      <w:color w:val="auto"/>
                      <w:sz w:val="16"/>
                      <w:szCs w:val="16"/>
                      <w:lang w:eastAsia="it-IT"/>
                    </w:rPr>
                  </w:pPr>
                  <w:r w:rsidRPr="00DC6CE6">
                    <w:rPr>
                      <w:rFonts w:eastAsia="Times New Roman" w:cs="Times New Roman"/>
                      <w:bCs/>
                      <w:color w:val="auto"/>
                      <w:sz w:val="16"/>
                      <w:szCs w:val="16"/>
                      <w:lang w:eastAsia="it-IT"/>
                    </w:rPr>
                    <w:t>Classe di superficie</w:t>
                  </w:r>
                </w:p>
              </w:tc>
              <w:tc>
                <w:tcPr>
                  <w:tcW w:w="850" w:type="dxa"/>
                  <w:tcBorders>
                    <w:top w:val="nil"/>
                    <w:left w:val="nil"/>
                    <w:bottom w:val="single" w:sz="8" w:space="0" w:color="auto"/>
                    <w:right w:val="single" w:sz="8" w:space="0" w:color="auto"/>
                  </w:tcBorders>
                  <w:shd w:val="clear" w:color="auto" w:fill="auto"/>
                  <w:vAlign w:val="center"/>
                  <w:hideMark/>
                </w:tcPr>
                <w:p w14:paraId="45E65315" w14:textId="77777777" w:rsidR="00A14903" w:rsidRPr="00DC6CE6" w:rsidRDefault="00A14903" w:rsidP="00B3207C">
                  <w:pPr>
                    <w:framePr w:hSpace="141" w:wrap="around" w:vAnchor="text" w:hAnchor="text" w:x="-857" w:y="1"/>
                    <w:suppressOverlap/>
                    <w:jc w:val="center"/>
                    <w:rPr>
                      <w:rFonts w:eastAsia="Times New Roman" w:cs="Times New Roman"/>
                      <w:bCs/>
                      <w:color w:val="auto"/>
                      <w:sz w:val="16"/>
                      <w:szCs w:val="16"/>
                      <w:lang w:eastAsia="it-IT"/>
                    </w:rPr>
                  </w:pPr>
                  <w:r w:rsidRPr="00DC6CE6">
                    <w:rPr>
                      <w:rFonts w:eastAsia="Times New Roman" w:cs="Times New Roman"/>
                      <w:bCs/>
                      <w:color w:val="auto"/>
                      <w:sz w:val="16"/>
                      <w:szCs w:val="16"/>
                      <w:lang w:eastAsia="it-IT"/>
                    </w:rPr>
                    <w:t>0 – 75 ha</w:t>
                  </w:r>
                </w:p>
              </w:tc>
              <w:tc>
                <w:tcPr>
                  <w:tcW w:w="851" w:type="dxa"/>
                  <w:tcBorders>
                    <w:top w:val="nil"/>
                    <w:left w:val="nil"/>
                    <w:bottom w:val="single" w:sz="8" w:space="0" w:color="auto"/>
                    <w:right w:val="single" w:sz="8" w:space="0" w:color="auto"/>
                  </w:tcBorders>
                  <w:shd w:val="clear" w:color="auto" w:fill="auto"/>
                  <w:vAlign w:val="center"/>
                  <w:hideMark/>
                </w:tcPr>
                <w:p w14:paraId="300E239F" w14:textId="77777777" w:rsidR="00A14903" w:rsidRPr="00DC6CE6" w:rsidRDefault="00A14903" w:rsidP="00B3207C">
                  <w:pPr>
                    <w:framePr w:hSpace="141" w:wrap="around" w:vAnchor="text" w:hAnchor="text" w:x="-857" w:y="1"/>
                    <w:suppressOverlap/>
                    <w:jc w:val="center"/>
                    <w:rPr>
                      <w:rFonts w:eastAsia="Times New Roman" w:cs="Times New Roman"/>
                      <w:bCs/>
                      <w:color w:val="auto"/>
                      <w:sz w:val="16"/>
                      <w:szCs w:val="16"/>
                      <w:lang w:eastAsia="it-IT"/>
                    </w:rPr>
                  </w:pPr>
                  <w:r w:rsidRPr="00DC6CE6">
                    <w:rPr>
                      <w:rFonts w:eastAsia="Times New Roman" w:cs="Times New Roman"/>
                      <w:bCs/>
                      <w:color w:val="auto"/>
                      <w:sz w:val="16"/>
                      <w:szCs w:val="16"/>
                      <w:lang w:eastAsia="it-IT"/>
                    </w:rPr>
                    <w:t>75 – 150 ha</w:t>
                  </w:r>
                </w:p>
              </w:tc>
              <w:tc>
                <w:tcPr>
                  <w:tcW w:w="850" w:type="dxa"/>
                  <w:tcBorders>
                    <w:top w:val="nil"/>
                    <w:left w:val="nil"/>
                    <w:bottom w:val="single" w:sz="8" w:space="0" w:color="auto"/>
                    <w:right w:val="single" w:sz="8" w:space="0" w:color="auto"/>
                  </w:tcBorders>
                  <w:shd w:val="clear" w:color="auto" w:fill="auto"/>
                  <w:vAlign w:val="center"/>
                  <w:hideMark/>
                </w:tcPr>
                <w:p w14:paraId="2979602F" w14:textId="77777777" w:rsidR="00A14903" w:rsidRPr="00DC6CE6" w:rsidRDefault="00A14903" w:rsidP="00B3207C">
                  <w:pPr>
                    <w:framePr w:hSpace="141" w:wrap="around" w:vAnchor="text" w:hAnchor="text" w:x="-857" w:y="1"/>
                    <w:suppressOverlap/>
                    <w:jc w:val="center"/>
                    <w:rPr>
                      <w:rFonts w:eastAsia="Times New Roman" w:cs="Times New Roman"/>
                      <w:bCs/>
                      <w:color w:val="auto"/>
                      <w:sz w:val="16"/>
                      <w:szCs w:val="16"/>
                      <w:lang w:eastAsia="it-IT"/>
                    </w:rPr>
                  </w:pPr>
                  <w:r w:rsidRPr="00DC6CE6">
                    <w:rPr>
                      <w:rFonts w:eastAsia="Times New Roman" w:cs="Times New Roman"/>
                      <w:bCs/>
                      <w:color w:val="auto"/>
                      <w:sz w:val="16"/>
                      <w:szCs w:val="16"/>
                      <w:lang w:eastAsia="it-IT"/>
                    </w:rPr>
                    <w:t>&gt; 150 ha</w:t>
                  </w:r>
                </w:p>
              </w:tc>
            </w:tr>
            <w:tr w:rsidR="00A14903" w:rsidRPr="00DC6CE6" w14:paraId="78A4B22B" w14:textId="77777777" w:rsidTr="00120DB4">
              <w:trPr>
                <w:trHeight w:val="315"/>
              </w:trPr>
              <w:tc>
                <w:tcPr>
                  <w:tcW w:w="2410" w:type="dxa"/>
                  <w:tcBorders>
                    <w:top w:val="nil"/>
                    <w:left w:val="single" w:sz="8" w:space="0" w:color="auto"/>
                    <w:bottom w:val="single" w:sz="8" w:space="0" w:color="auto"/>
                    <w:right w:val="single" w:sz="8" w:space="0" w:color="auto"/>
                  </w:tcBorders>
                  <w:shd w:val="clear" w:color="auto" w:fill="auto"/>
                  <w:vAlign w:val="center"/>
                  <w:hideMark/>
                </w:tcPr>
                <w:p w14:paraId="2C15D43E" w14:textId="77777777" w:rsidR="00A14903" w:rsidRPr="00DC6CE6" w:rsidRDefault="00A14903" w:rsidP="00B3207C">
                  <w:pPr>
                    <w:framePr w:hSpace="141" w:wrap="around" w:vAnchor="text" w:hAnchor="text" w:x="-857" w:y="1"/>
                    <w:suppressOverlap/>
                    <w:rPr>
                      <w:rFonts w:eastAsia="Times New Roman" w:cs="Times New Roman"/>
                      <w:color w:val="auto"/>
                      <w:sz w:val="16"/>
                      <w:szCs w:val="16"/>
                      <w:lang w:eastAsia="it-IT"/>
                    </w:rPr>
                  </w:pPr>
                  <w:r w:rsidRPr="00DC6CE6">
                    <w:rPr>
                      <w:rFonts w:eastAsia="Times New Roman" w:cs="Times New Roman"/>
                      <w:color w:val="auto"/>
                      <w:sz w:val="16"/>
                      <w:szCs w:val="16"/>
                      <w:lang w:eastAsia="it-IT"/>
                    </w:rPr>
                    <w:t>Pascolo &gt; 2000 mt</w:t>
                  </w:r>
                </w:p>
              </w:tc>
              <w:tc>
                <w:tcPr>
                  <w:tcW w:w="850" w:type="dxa"/>
                  <w:tcBorders>
                    <w:top w:val="nil"/>
                    <w:left w:val="nil"/>
                    <w:bottom w:val="single" w:sz="8" w:space="0" w:color="auto"/>
                    <w:right w:val="single" w:sz="8" w:space="0" w:color="auto"/>
                  </w:tcBorders>
                  <w:shd w:val="clear" w:color="000000" w:fill="92D050"/>
                  <w:vAlign w:val="center"/>
                  <w:hideMark/>
                </w:tcPr>
                <w:p w14:paraId="5C7C06A5" w14:textId="77777777" w:rsidR="00A14903" w:rsidRPr="00DC6CE6" w:rsidRDefault="00A14903" w:rsidP="00B3207C">
                  <w:pPr>
                    <w:framePr w:hSpace="141" w:wrap="around" w:vAnchor="text" w:hAnchor="text" w:x="-857" w:y="1"/>
                    <w:suppressOverlap/>
                    <w:jc w:val="right"/>
                    <w:rPr>
                      <w:rFonts w:eastAsia="Times New Roman" w:cs="Times New Roman"/>
                      <w:bCs/>
                      <w:color w:val="auto"/>
                      <w:sz w:val="16"/>
                      <w:szCs w:val="16"/>
                      <w:lang w:eastAsia="it-IT"/>
                    </w:rPr>
                  </w:pPr>
                  <w:r w:rsidRPr="00DC6CE6">
                    <w:rPr>
                      <w:rFonts w:eastAsia="Times New Roman" w:cs="Times New Roman"/>
                      <w:bCs/>
                      <w:color w:val="auto"/>
                      <w:sz w:val="16"/>
                      <w:szCs w:val="16"/>
                      <w:lang w:eastAsia="it-IT"/>
                    </w:rPr>
                    <w:t>232</w:t>
                  </w:r>
                </w:p>
              </w:tc>
              <w:tc>
                <w:tcPr>
                  <w:tcW w:w="851" w:type="dxa"/>
                  <w:tcBorders>
                    <w:top w:val="nil"/>
                    <w:left w:val="nil"/>
                    <w:bottom w:val="single" w:sz="8" w:space="0" w:color="auto"/>
                    <w:right w:val="single" w:sz="8" w:space="0" w:color="auto"/>
                  </w:tcBorders>
                  <w:shd w:val="clear" w:color="000000" w:fill="92D050"/>
                  <w:vAlign w:val="center"/>
                  <w:hideMark/>
                </w:tcPr>
                <w:p w14:paraId="1D17C3A8" w14:textId="77777777" w:rsidR="00A14903" w:rsidRPr="00DC6CE6" w:rsidRDefault="00A14903" w:rsidP="00B3207C">
                  <w:pPr>
                    <w:framePr w:hSpace="141" w:wrap="around" w:vAnchor="text" w:hAnchor="text" w:x="-857" w:y="1"/>
                    <w:suppressOverlap/>
                    <w:jc w:val="right"/>
                    <w:rPr>
                      <w:rFonts w:eastAsia="Times New Roman" w:cs="Times New Roman"/>
                      <w:bCs/>
                      <w:color w:val="auto"/>
                      <w:sz w:val="16"/>
                      <w:szCs w:val="16"/>
                      <w:lang w:eastAsia="it-IT"/>
                    </w:rPr>
                  </w:pPr>
                  <w:r w:rsidRPr="00DC6CE6">
                    <w:rPr>
                      <w:rFonts w:eastAsia="Times New Roman" w:cs="Times New Roman"/>
                      <w:bCs/>
                      <w:color w:val="auto"/>
                      <w:sz w:val="16"/>
                      <w:szCs w:val="16"/>
                      <w:lang w:eastAsia="it-IT"/>
                    </w:rPr>
                    <w:t>189</w:t>
                  </w:r>
                </w:p>
              </w:tc>
              <w:tc>
                <w:tcPr>
                  <w:tcW w:w="850" w:type="dxa"/>
                  <w:tcBorders>
                    <w:top w:val="nil"/>
                    <w:left w:val="nil"/>
                    <w:bottom w:val="single" w:sz="8" w:space="0" w:color="auto"/>
                    <w:right w:val="single" w:sz="8" w:space="0" w:color="auto"/>
                  </w:tcBorders>
                  <w:shd w:val="clear" w:color="000000" w:fill="92D050"/>
                  <w:vAlign w:val="center"/>
                  <w:hideMark/>
                </w:tcPr>
                <w:p w14:paraId="33B9C419" w14:textId="77777777" w:rsidR="00A14903" w:rsidRPr="00DC6CE6" w:rsidRDefault="00A14903" w:rsidP="00B3207C">
                  <w:pPr>
                    <w:framePr w:hSpace="141" w:wrap="around" w:vAnchor="text" w:hAnchor="text" w:x="-857" w:y="1"/>
                    <w:suppressOverlap/>
                    <w:jc w:val="right"/>
                    <w:rPr>
                      <w:rFonts w:eastAsia="Times New Roman" w:cs="Times New Roman"/>
                      <w:bCs/>
                      <w:color w:val="auto"/>
                      <w:sz w:val="16"/>
                      <w:szCs w:val="16"/>
                      <w:lang w:eastAsia="it-IT"/>
                    </w:rPr>
                  </w:pPr>
                  <w:r w:rsidRPr="00DC6CE6">
                    <w:rPr>
                      <w:rFonts w:eastAsia="Times New Roman" w:cs="Times New Roman"/>
                      <w:bCs/>
                      <w:color w:val="auto"/>
                      <w:sz w:val="16"/>
                      <w:szCs w:val="16"/>
                      <w:lang w:eastAsia="it-IT"/>
                    </w:rPr>
                    <w:t>160</w:t>
                  </w:r>
                </w:p>
              </w:tc>
            </w:tr>
            <w:tr w:rsidR="00A14903" w:rsidRPr="00DC6CE6" w14:paraId="5583FE17" w14:textId="77777777" w:rsidTr="00120DB4">
              <w:trPr>
                <w:trHeight w:val="315"/>
              </w:trPr>
              <w:tc>
                <w:tcPr>
                  <w:tcW w:w="2410" w:type="dxa"/>
                  <w:tcBorders>
                    <w:top w:val="nil"/>
                    <w:left w:val="single" w:sz="8" w:space="0" w:color="auto"/>
                    <w:bottom w:val="single" w:sz="8" w:space="0" w:color="auto"/>
                    <w:right w:val="single" w:sz="8" w:space="0" w:color="auto"/>
                  </w:tcBorders>
                  <w:shd w:val="clear" w:color="auto" w:fill="auto"/>
                  <w:vAlign w:val="center"/>
                  <w:hideMark/>
                </w:tcPr>
                <w:p w14:paraId="61541993" w14:textId="77777777" w:rsidR="00A14903" w:rsidRPr="00DC6CE6" w:rsidRDefault="00A14903" w:rsidP="00B3207C">
                  <w:pPr>
                    <w:framePr w:hSpace="141" w:wrap="around" w:vAnchor="text" w:hAnchor="text" w:x="-857" w:y="1"/>
                    <w:suppressOverlap/>
                    <w:rPr>
                      <w:rFonts w:eastAsia="Times New Roman" w:cs="Times New Roman"/>
                      <w:color w:val="auto"/>
                      <w:sz w:val="16"/>
                      <w:szCs w:val="16"/>
                      <w:lang w:eastAsia="it-IT"/>
                    </w:rPr>
                  </w:pPr>
                  <w:r w:rsidRPr="00DC6CE6">
                    <w:rPr>
                      <w:rFonts w:eastAsia="Times New Roman" w:cs="Times New Roman"/>
                      <w:color w:val="auto"/>
                      <w:sz w:val="16"/>
                      <w:szCs w:val="16"/>
                      <w:lang w:eastAsia="it-IT"/>
                    </w:rPr>
                    <w:t>Pascolo &lt; 2000 mt</w:t>
                  </w:r>
                </w:p>
              </w:tc>
              <w:tc>
                <w:tcPr>
                  <w:tcW w:w="850" w:type="dxa"/>
                  <w:tcBorders>
                    <w:top w:val="nil"/>
                    <w:left w:val="nil"/>
                    <w:bottom w:val="single" w:sz="8" w:space="0" w:color="auto"/>
                    <w:right w:val="single" w:sz="8" w:space="0" w:color="auto"/>
                  </w:tcBorders>
                  <w:shd w:val="clear" w:color="000000" w:fill="92D050"/>
                  <w:vAlign w:val="center"/>
                  <w:hideMark/>
                </w:tcPr>
                <w:p w14:paraId="72660347" w14:textId="77777777" w:rsidR="00A14903" w:rsidRPr="00DC6CE6" w:rsidRDefault="00A14903" w:rsidP="00B3207C">
                  <w:pPr>
                    <w:framePr w:hSpace="141" w:wrap="around" w:vAnchor="text" w:hAnchor="text" w:x="-857" w:y="1"/>
                    <w:suppressOverlap/>
                    <w:jc w:val="right"/>
                    <w:rPr>
                      <w:rFonts w:eastAsia="Times New Roman" w:cs="Times New Roman"/>
                      <w:bCs/>
                      <w:color w:val="auto"/>
                      <w:sz w:val="16"/>
                      <w:szCs w:val="16"/>
                      <w:lang w:eastAsia="it-IT"/>
                    </w:rPr>
                  </w:pPr>
                  <w:r w:rsidRPr="00DC6CE6">
                    <w:rPr>
                      <w:rFonts w:eastAsia="Times New Roman" w:cs="Times New Roman"/>
                      <w:bCs/>
                      <w:color w:val="auto"/>
                      <w:sz w:val="16"/>
                      <w:szCs w:val="16"/>
                      <w:lang w:eastAsia="it-IT"/>
                    </w:rPr>
                    <w:t>116</w:t>
                  </w:r>
                </w:p>
              </w:tc>
              <w:tc>
                <w:tcPr>
                  <w:tcW w:w="851" w:type="dxa"/>
                  <w:tcBorders>
                    <w:top w:val="nil"/>
                    <w:left w:val="nil"/>
                    <w:bottom w:val="single" w:sz="8" w:space="0" w:color="auto"/>
                    <w:right w:val="single" w:sz="8" w:space="0" w:color="auto"/>
                  </w:tcBorders>
                  <w:shd w:val="clear" w:color="000000" w:fill="92D050"/>
                  <w:vAlign w:val="center"/>
                  <w:hideMark/>
                </w:tcPr>
                <w:p w14:paraId="4E98A3B1" w14:textId="77777777" w:rsidR="00A14903" w:rsidRPr="00DC6CE6" w:rsidRDefault="00A14903" w:rsidP="00B3207C">
                  <w:pPr>
                    <w:framePr w:hSpace="141" w:wrap="around" w:vAnchor="text" w:hAnchor="text" w:x="-857" w:y="1"/>
                    <w:suppressOverlap/>
                    <w:jc w:val="right"/>
                    <w:rPr>
                      <w:rFonts w:eastAsia="Times New Roman" w:cs="Times New Roman"/>
                      <w:bCs/>
                      <w:color w:val="auto"/>
                      <w:sz w:val="16"/>
                      <w:szCs w:val="16"/>
                      <w:lang w:eastAsia="it-IT"/>
                    </w:rPr>
                  </w:pPr>
                  <w:r w:rsidRPr="00DC6CE6">
                    <w:rPr>
                      <w:rFonts w:eastAsia="Times New Roman" w:cs="Times New Roman"/>
                      <w:bCs/>
                      <w:color w:val="auto"/>
                      <w:sz w:val="16"/>
                      <w:szCs w:val="16"/>
                      <w:lang w:eastAsia="it-IT"/>
                    </w:rPr>
                    <w:t>94</w:t>
                  </w:r>
                </w:p>
              </w:tc>
              <w:tc>
                <w:tcPr>
                  <w:tcW w:w="850" w:type="dxa"/>
                  <w:tcBorders>
                    <w:top w:val="nil"/>
                    <w:left w:val="nil"/>
                    <w:bottom w:val="single" w:sz="8" w:space="0" w:color="auto"/>
                    <w:right w:val="single" w:sz="8" w:space="0" w:color="auto"/>
                  </w:tcBorders>
                  <w:shd w:val="clear" w:color="000000" w:fill="92D050"/>
                  <w:vAlign w:val="center"/>
                  <w:hideMark/>
                </w:tcPr>
                <w:p w14:paraId="50CCA287" w14:textId="77777777" w:rsidR="00A14903" w:rsidRPr="00DC6CE6" w:rsidRDefault="00A14903" w:rsidP="00B3207C">
                  <w:pPr>
                    <w:framePr w:hSpace="141" w:wrap="around" w:vAnchor="text" w:hAnchor="text" w:x="-857" w:y="1"/>
                    <w:suppressOverlap/>
                    <w:jc w:val="right"/>
                    <w:rPr>
                      <w:rFonts w:eastAsia="Times New Roman" w:cs="Times New Roman"/>
                      <w:bCs/>
                      <w:color w:val="auto"/>
                      <w:sz w:val="16"/>
                      <w:szCs w:val="16"/>
                      <w:lang w:eastAsia="it-IT"/>
                    </w:rPr>
                  </w:pPr>
                  <w:r w:rsidRPr="00DC6CE6">
                    <w:rPr>
                      <w:rFonts w:eastAsia="Times New Roman" w:cs="Times New Roman"/>
                      <w:bCs/>
                      <w:color w:val="auto"/>
                      <w:sz w:val="16"/>
                      <w:szCs w:val="16"/>
                      <w:lang w:eastAsia="it-IT"/>
                    </w:rPr>
                    <w:t>80</w:t>
                  </w:r>
                </w:p>
              </w:tc>
            </w:tr>
          </w:tbl>
          <w:p w14:paraId="43B7AB85" w14:textId="77777777" w:rsidR="005F7F00" w:rsidRDefault="005F7F00" w:rsidP="005F7F00">
            <w:pPr>
              <w:jc w:val="both"/>
              <w:rPr>
                <w:rFonts w:asciiTheme="minorHAnsi" w:hAnsiTheme="minorHAnsi"/>
                <w:color w:val="auto"/>
                <w:sz w:val="20"/>
                <w:szCs w:val="20"/>
                <w:shd w:val="clear" w:color="auto" w:fill="FFFFFF"/>
              </w:rPr>
            </w:pPr>
          </w:p>
          <w:p w14:paraId="783BEE1F" w14:textId="77777777" w:rsidR="00A14903" w:rsidRDefault="00A14903" w:rsidP="00A14903">
            <w:pPr>
              <w:rPr>
                <w:rFonts w:eastAsia="Times New Roman" w:cs="Times New Roman"/>
                <w:bCs/>
                <w:color w:val="000000"/>
                <w:sz w:val="16"/>
                <w:szCs w:val="16"/>
                <w:lang w:eastAsia="it-IT"/>
              </w:rPr>
            </w:pPr>
          </w:p>
          <w:p w14:paraId="2E2B0F2D" w14:textId="77777777" w:rsidR="00A14903" w:rsidRPr="00896850" w:rsidRDefault="00A14903" w:rsidP="00A14903">
            <w:pPr>
              <w:spacing w:after="120"/>
              <w:ind w:left="198" w:hanging="198"/>
              <w:rPr>
                <w:rFonts w:eastAsia="Times New Roman" w:cs="Times New Roman"/>
                <w:b/>
                <w:bCs/>
                <w:color w:val="000000"/>
                <w:sz w:val="18"/>
                <w:szCs w:val="18"/>
                <w:lang w:eastAsia="it-IT"/>
              </w:rPr>
            </w:pPr>
            <w:r>
              <w:rPr>
                <w:rFonts w:eastAsia="Times New Roman" w:cs="Times New Roman"/>
                <w:bCs/>
                <w:color w:val="000000"/>
                <w:sz w:val="16"/>
                <w:szCs w:val="16"/>
                <w:lang w:eastAsia="it-IT"/>
              </w:rPr>
              <w:t xml:space="preserve">      </w:t>
            </w:r>
            <w:r w:rsidRPr="00896850">
              <w:rPr>
                <w:rFonts w:eastAsia="Times New Roman" w:cs="Times New Roman"/>
                <w:b/>
                <w:bCs/>
                <w:color w:val="000000"/>
                <w:sz w:val="18"/>
                <w:szCs w:val="18"/>
                <w:lang w:eastAsia="it-IT"/>
              </w:rPr>
              <w:t>Sistema agricolo zootecnico estensivo e/o non zootecnico con colture foraggere. Prati permanenti</w:t>
            </w:r>
          </w:p>
          <w:tbl>
            <w:tblPr>
              <w:tblW w:w="5519" w:type="dxa"/>
              <w:tblInd w:w="161" w:type="dxa"/>
              <w:tblCellMar>
                <w:left w:w="70" w:type="dxa"/>
                <w:right w:w="70" w:type="dxa"/>
              </w:tblCellMar>
              <w:tblLook w:val="04A0" w:firstRow="1" w:lastRow="0" w:firstColumn="1" w:lastColumn="0" w:noHBand="0" w:noVBand="1"/>
            </w:tblPr>
            <w:tblGrid>
              <w:gridCol w:w="983"/>
              <w:gridCol w:w="425"/>
              <w:gridCol w:w="567"/>
              <w:gridCol w:w="425"/>
              <w:gridCol w:w="567"/>
              <w:gridCol w:w="567"/>
              <w:gridCol w:w="425"/>
              <w:gridCol w:w="567"/>
              <w:gridCol w:w="567"/>
              <w:gridCol w:w="426"/>
            </w:tblGrid>
            <w:tr w:rsidR="00A14903" w:rsidRPr="00DC6CE6" w14:paraId="72F1C58F" w14:textId="77777777" w:rsidTr="00120DB4">
              <w:trPr>
                <w:trHeight w:val="315"/>
              </w:trPr>
              <w:tc>
                <w:tcPr>
                  <w:tcW w:w="983" w:type="dxa"/>
                  <w:tcBorders>
                    <w:top w:val="single" w:sz="8" w:space="0" w:color="auto"/>
                    <w:left w:val="single" w:sz="8" w:space="0" w:color="auto"/>
                    <w:bottom w:val="single" w:sz="8" w:space="0" w:color="auto"/>
                    <w:right w:val="single" w:sz="8" w:space="0" w:color="auto"/>
                  </w:tcBorders>
                  <w:shd w:val="clear" w:color="000000" w:fill="006600"/>
                  <w:vAlign w:val="center"/>
                  <w:hideMark/>
                </w:tcPr>
                <w:p w14:paraId="44F20B30" w14:textId="77777777" w:rsidR="00A14903" w:rsidRPr="00DC6CE6" w:rsidRDefault="00A14903" w:rsidP="00B3207C">
                  <w:pPr>
                    <w:framePr w:hSpace="141" w:wrap="around" w:vAnchor="text" w:hAnchor="text" w:x="-857" w:y="1"/>
                    <w:suppressOverlap/>
                    <w:rPr>
                      <w:rFonts w:asciiTheme="minorHAnsi" w:eastAsia="Times New Roman" w:hAnsiTheme="minorHAnsi" w:cstheme="minorHAnsi"/>
                      <w:bCs/>
                      <w:color w:val="FFFFFF"/>
                      <w:sz w:val="16"/>
                      <w:szCs w:val="16"/>
                      <w:lang w:eastAsia="it-IT"/>
                    </w:rPr>
                  </w:pPr>
                  <w:r w:rsidRPr="00DC6CE6">
                    <w:rPr>
                      <w:rFonts w:asciiTheme="minorHAnsi" w:eastAsia="Times New Roman" w:hAnsiTheme="minorHAnsi" w:cstheme="minorHAnsi"/>
                      <w:bCs/>
                      <w:color w:val="FFFFFF"/>
                      <w:sz w:val="16"/>
                      <w:szCs w:val="16"/>
                      <w:lang w:eastAsia="it-IT"/>
                    </w:rPr>
                    <w:t>Prato permanente</w:t>
                  </w:r>
                </w:p>
              </w:tc>
              <w:tc>
                <w:tcPr>
                  <w:tcW w:w="4536" w:type="dxa"/>
                  <w:gridSpan w:val="9"/>
                  <w:tcBorders>
                    <w:top w:val="single" w:sz="8" w:space="0" w:color="auto"/>
                    <w:left w:val="nil"/>
                    <w:bottom w:val="single" w:sz="8" w:space="0" w:color="auto"/>
                    <w:right w:val="single" w:sz="8" w:space="0" w:color="000000"/>
                  </w:tcBorders>
                  <w:shd w:val="clear" w:color="000000" w:fill="006600"/>
                  <w:vAlign w:val="center"/>
                  <w:hideMark/>
                </w:tcPr>
                <w:p w14:paraId="14A4021D"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FFFFFF"/>
                      <w:sz w:val="16"/>
                      <w:szCs w:val="16"/>
                      <w:lang w:eastAsia="it-IT"/>
                    </w:rPr>
                  </w:pPr>
                  <w:r w:rsidRPr="00DC6CE6">
                    <w:rPr>
                      <w:rFonts w:asciiTheme="minorHAnsi" w:eastAsia="Times New Roman" w:hAnsiTheme="minorHAnsi" w:cstheme="minorHAnsi"/>
                      <w:bCs/>
                      <w:color w:val="FFFFFF"/>
                      <w:sz w:val="16"/>
                      <w:szCs w:val="16"/>
                      <w:lang w:eastAsia="it-IT"/>
                    </w:rPr>
                    <w:t>Totale indennità (€/ha)</w:t>
                  </w:r>
                </w:p>
              </w:tc>
            </w:tr>
            <w:tr w:rsidR="00A14903" w:rsidRPr="00DC6CE6" w14:paraId="3C479071" w14:textId="77777777" w:rsidTr="00120DB4">
              <w:trPr>
                <w:trHeight w:val="315"/>
              </w:trPr>
              <w:tc>
                <w:tcPr>
                  <w:tcW w:w="983" w:type="dxa"/>
                  <w:vMerge w:val="restart"/>
                  <w:tcBorders>
                    <w:top w:val="nil"/>
                    <w:left w:val="single" w:sz="8" w:space="0" w:color="auto"/>
                    <w:bottom w:val="single" w:sz="8" w:space="0" w:color="000000"/>
                    <w:right w:val="single" w:sz="8" w:space="0" w:color="auto"/>
                  </w:tcBorders>
                  <w:shd w:val="clear" w:color="auto" w:fill="auto"/>
                  <w:vAlign w:val="center"/>
                  <w:hideMark/>
                </w:tcPr>
                <w:p w14:paraId="4034F38A" w14:textId="77777777" w:rsidR="00A14903" w:rsidRPr="00DC6CE6" w:rsidRDefault="00A14903" w:rsidP="00B3207C">
                  <w:pPr>
                    <w:framePr w:hSpace="141" w:wrap="around" w:vAnchor="text" w:hAnchor="text" w:x="-857" w:y="1"/>
                    <w:suppressOverlap/>
                    <w:rPr>
                      <w:rFonts w:asciiTheme="minorHAnsi" w:eastAsia="Times New Roman" w:hAnsiTheme="minorHAnsi" w:cstheme="minorHAnsi"/>
                      <w:color w:val="000000"/>
                      <w:sz w:val="16"/>
                      <w:szCs w:val="16"/>
                      <w:lang w:eastAsia="it-IT"/>
                    </w:rPr>
                  </w:pPr>
                  <w:r w:rsidRPr="00DC6CE6">
                    <w:rPr>
                      <w:rFonts w:asciiTheme="minorHAnsi" w:eastAsia="Times New Roman" w:hAnsiTheme="minorHAnsi" w:cstheme="minorHAnsi"/>
                      <w:color w:val="000000"/>
                      <w:sz w:val="16"/>
                      <w:szCs w:val="16"/>
                      <w:lang w:eastAsia="it-IT"/>
                    </w:rPr>
                    <w:t>Pendenza</w:t>
                  </w:r>
                </w:p>
              </w:tc>
              <w:tc>
                <w:tcPr>
                  <w:tcW w:w="4536" w:type="dxa"/>
                  <w:gridSpan w:val="9"/>
                  <w:tcBorders>
                    <w:top w:val="single" w:sz="8" w:space="0" w:color="auto"/>
                    <w:left w:val="nil"/>
                    <w:bottom w:val="single" w:sz="8" w:space="0" w:color="auto"/>
                    <w:right w:val="single" w:sz="8" w:space="0" w:color="000000"/>
                  </w:tcBorders>
                  <w:shd w:val="clear" w:color="auto" w:fill="auto"/>
                  <w:vAlign w:val="center"/>
                  <w:hideMark/>
                </w:tcPr>
                <w:p w14:paraId="4A6FC0E3"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Altitudine</w:t>
                  </w:r>
                </w:p>
              </w:tc>
            </w:tr>
            <w:tr w:rsidR="00A14903" w:rsidRPr="00DC6CE6" w14:paraId="590B5165" w14:textId="77777777" w:rsidTr="00120DB4">
              <w:trPr>
                <w:trHeight w:val="315"/>
              </w:trPr>
              <w:tc>
                <w:tcPr>
                  <w:tcW w:w="983" w:type="dxa"/>
                  <w:vMerge/>
                  <w:tcBorders>
                    <w:top w:val="nil"/>
                    <w:left w:val="single" w:sz="8" w:space="0" w:color="auto"/>
                    <w:bottom w:val="single" w:sz="8" w:space="0" w:color="000000"/>
                    <w:right w:val="single" w:sz="8" w:space="0" w:color="auto"/>
                  </w:tcBorders>
                  <w:vAlign w:val="center"/>
                  <w:hideMark/>
                </w:tcPr>
                <w:p w14:paraId="207D1FEF" w14:textId="77777777" w:rsidR="00A14903" w:rsidRPr="00DC6CE6" w:rsidRDefault="00A14903" w:rsidP="00B3207C">
                  <w:pPr>
                    <w:framePr w:hSpace="141" w:wrap="around" w:vAnchor="text" w:hAnchor="text" w:x="-857" w:y="1"/>
                    <w:suppressOverlap/>
                    <w:rPr>
                      <w:rFonts w:asciiTheme="minorHAnsi" w:eastAsia="Times New Roman" w:hAnsiTheme="minorHAnsi" w:cstheme="minorHAnsi"/>
                      <w:color w:val="000000"/>
                      <w:sz w:val="16"/>
                      <w:szCs w:val="16"/>
                      <w:lang w:eastAsia="it-IT"/>
                    </w:rPr>
                  </w:pPr>
                </w:p>
              </w:tc>
              <w:tc>
                <w:tcPr>
                  <w:tcW w:w="1417" w:type="dxa"/>
                  <w:gridSpan w:val="3"/>
                  <w:tcBorders>
                    <w:top w:val="single" w:sz="8" w:space="0" w:color="auto"/>
                    <w:left w:val="nil"/>
                    <w:bottom w:val="single" w:sz="8" w:space="0" w:color="auto"/>
                    <w:right w:val="single" w:sz="8" w:space="0" w:color="000000"/>
                  </w:tcBorders>
                  <w:shd w:val="clear" w:color="auto" w:fill="auto"/>
                  <w:vAlign w:val="center"/>
                  <w:hideMark/>
                </w:tcPr>
                <w:p w14:paraId="7B3EE857"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&lt; 750 mt</w:t>
                  </w:r>
                </w:p>
              </w:tc>
              <w:tc>
                <w:tcPr>
                  <w:tcW w:w="1559" w:type="dxa"/>
                  <w:gridSpan w:val="3"/>
                  <w:tcBorders>
                    <w:top w:val="single" w:sz="8" w:space="0" w:color="auto"/>
                    <w:left w:val="nil"/>
                    <w:bottom w:val="single" w:sz="8" w:space="0" w:color="auto"/>
                    <w:right w:val="single" w:sz="8" w:space="0" w:color="000000"/>
                  </w:tcBorders>
                  <w:shd w:val="clear" w:color="auto" w:fill="auto"/>
                  <w:vAlign w:val="center"/>
                  <w:hideMark/>
                </w:tcPr>
                <w:p w14:paraId="37644D9D"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750 – 1500 mt</w:t>
                  </w:r>
                </w:p>
              </w:tc>
              <w:tc>
                <w:tcPr>
                  <w:tcW w:w="1560" w:type="dxa"/>
                  <w:gridSpan w:val="3"/>
                  <w:tcBorders>
                    <w:top w:val="single" w:sz="8" w:space="0" w:color="auto"/>
                    <w:left w:val="nil"/>
                    <w:bottom w:val="single" w:sz="8" w:space="0" w:color="auto"/>
                    <w:right w:val="single" w:sz="8" w:space="0" w:color="000000"/>
                  </w:tcBorders>
                  <w:shd w:val="clear" w:color="auto" w:fill="auto"/>
                  <w:vAlign w:val="center"/>
                  <w:hideMark/>
                </w:tcPr>
                <w:p w14:paraId="1E024B31"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&gt;1500 mt</w:t>
                  </w:r>
                </w:p>
              </w:tc>
            </w:tr>
            <w:tr w:rsidR="00A14903" w:rsidRPr="00DC6CE6" w14:paraId="674FDDB5" w14:textId="77777777" w:rsidTr="00120DB4">
              <w:trPr>
                <w:trHeight w:val="315"/>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223E6B2E" w14:textId="77777777" w:rsidR="00A14903" w:rsidRPr="00DC6CE6" w:rsidRDefault="00A14903" w:rsidP="00B3207C">
                  <w:pPr>
                    <w:framePr w:hSpace="141" w:wrap="around" w:vAnchor="text" w:hAnchor="text" w:x="-857" w:y="1"/>
                    <w:suppressOverlap/>
                    <w:rPr>
                      <w:rFonts w:asciiTheme="minorHAnsi" w:eastAsia="Times New Roman" w:hAnsiTheme="minorHAnsi" w:cstheme="minorHAnsi"/>
                      <w:color w:val="000000"/>
                      <w:sz w:val="16"/>
                      <w:szCs w:val="16"/>
                      <w:lang w:eastAsia="it-IT"/>
                    </w:rPr>
                  </w:pPr>
                  <w:r w:rsidRPr="00DC6CE6">
                    <w:rPr>
                      <w:rFonts w:asciiTheme="minorHAnsi" w:eastAsia="Times New Roman" w:hAnsiTheme="minorHAnsi" w:cstheme="minorHAnsi"/>
                      <w:color w:val="000000"/>
                      <w:sz w:val="16"/>
                      <w:szCs w:val="16"/>
                      <w:lang w:eastAsia="it-IT"/>
                    </w:rPr>
                    <w:t>Classe di superficie</w:t>
                  </w:r>
                </w:p>
              </w:tc>
              <w:tc>
                <w:tcPr>
                  <w:tcW w:w="425" w:type="dxa"/>
                  <w:tcBorders>
                    <w:top w:val="nil"/>
                    <w:left w:val="nil"/>
                    <w:bottom w:val="single" w:sz="8" w:space="0" w:color="auto"/>
                    <w:right w:val="single" w:sz="8" w:space="0" w:color="auto"/>
                  </w:tcBorders>
                  <w:shd w:val="clear" w:color="auto" w:fill="auto"/>
                  <w:vAlign w:val="center"/>
                  <w:hideMark/>
                </w:tcPr>
                <w:p w14:paraId="4FA2953B"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0 – 10 ha</w:t>
                  </w:r>
                </w:p>
              </w:tc>
              <w:tc>
                <w:tcPr>
                  <w:tcW w:w="567" w:type="dxa"/>
                  <w:tcBorders>
                    <w:top w:val="nil"/>
                    <w:left w:val="nil"/>
                    <w:bottom w:val="single" w:sz="8" w:space="0" w:color="auto"/>
                    <w:right w:val="single" w:sz="8" w:space="0" w:color="auto"/>
                  </w:tcBorders>
                  <w:shd w:val="clear" w:color="auto" w:fill="auto"/>
                  <w:vAlign w:val="center"/>
                  <w:hideMark/>
                </w:tcPr>
                <w:p w14:paraId="2B43EA40"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10 – 20 ha</w:t>
                  </w:r>
                </w:p>
              </w:tc>
              <w:tc>
                <w:tcPr>
                  <w:tcW w:w="425" w:type="dxa"/>
                  <w:tcBorders>
                    <w:top w:val="nil"/>
                    <w:left w:val="nil"/>
                    <w:bottom w:val="single" w:sz="8" w:space="0" w:color="auto"/>
                    <w:right w:val="single" w:sz="8" w:space="0" w:color="auto"/>
                  </w:tcBorders>
                  <w:shd w:val="clear" w:color="auto" w:fill="auto"/>
                  <w:vAlign w:val="center"/>
                  <w:hideMark/>
                </w:tcPr>
                <w:p w14:paraId="677E6FB7"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&gt;20 ha</w:t>
                  </w:r>
                </w:p>
              </w:tc>
              <w:tc>
                <w:tcPr>
                  <w:tcW w:w="567" w:type="dxa"/>
                  <w:tcBorders>
                    <w:top w:val="nil"/>
                    <w:left w:val="nil"/>
                    <w:bottom w:val="single" w:sz="8" w:space="0" w:color="auto"/>
                    <w:right w:val="single" w:sz="8" w:space="0" w:color="auto"/>
                  </w:tcBorders>
                  <w:shd w:val="clear" w:color="auto" w:fill="auto"/>
                  <w:vAlign w:val="center"/>
                  <w:hideMark/>
                </w:tcPr>
                <w:p w14:paraId="7890B0D8"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0 – 10 ha</w:t>
                  </w:r>
                </w:p>
              </w:tc>
              <w:tc>
                <w:tcPr>
                  <w:tcW w:w="567" w:type="dxa"/>
                  <w:tcBorders>
                    <w:top w:val="nil"/>
                    <w:left w:val="nil"/>
                    <w:bottom w:val="single" w:sz="8" w:space="0" w:color="auto"/>
                    <w:right w:val="single" w:sz="8" w:space="0" w:color="auto"/>
                  </w:tcBorders>
                  <w:shd w:val="clear" w:color="auto" w:fill="auto"/>
                  <w:vAlign w:val="center"/>
                  <w:hideMark/>
                </w:tcPr>
                <w:p w14:paraId="61DD47DA"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10 – 20 ha</w:t>
                  </w:r>
                </w:p>
              </w:tc>
              <w:tc>
                <w:tcPr>
                  <w:tcW w:w="425" w:type="dxa"/>
                  <w:tcBorders>
                    <w:top w:val="nil"/>
                    <w:left w:val="nil"/>
                    <w:bottom w:val="single" w:sz="8" w:space="0" w:color="auto"/>
                    <w:right w:val="single" w:sz="8" w:space="0" w:color="auto"/>
                  </w:tcBorders>
                  <w:shd w:val="clear" w:color="auto" w:fill="auto"/>
                  <w:vAlign w:val="center"/>
                  <w:hideMark/>
                </w:tcPr>
                <w:p w14:paraId="011A59EE"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&gt;20 ha</w:t>
                  </w:r>
                </w:p>
              </w:tc>
              <w:tc>
                <w:tcPr>
                  <w:tcW w:w="567" w:type="dxa"/>
                  <w:tcBorders>
                    <w:top w:val="nil"/>
                    <w:left w:val="nil"/>
                    <w:bottom w:val="single" w:sz="8" w:space="0" w:color="auto"/>
                    <w:right w:val="single" w:sz="8" w:space="0" w:color="auto"/>
                  </w:tcBorders>
                  <w:shd w:val="clear" w:color="auto" w:fill="auto"/>
                  <w:vAlign w:val="center"/>
                  <w:hideMark/>
                </w:tcPr>
                <w:p w14:paraId="6AF8A9DE"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0 – 10 ha</w:t>
                  </w:r>
                </w:p>
              </w:tc>
              <w:tc>
                <w:tcPr>
                  <w:tcW w:w="567" w:type="dxa"/>
                  <w:tcBorders>
                    <w:top w:val="nil"/>
                    <w:left w:val="nil"/>
                    <w:bottom w:val="single" w:sz="8" w:space="0" w:color="auto"/>
                    <w:right w:val="single" w:sz="8" w:space="0" w:color="auto"/>
                  </w:tcBorders>
                  <w:shd w:val="clear" w:color="auto" w:fill="auto"/>
                  <w:vAlign w:val="center"/>
                  <w:hideMark/>
                </w:tcPr>
                <w:p w14:paraId="6099A282"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10 – 20 ha</w:t>
                  </w:r>
                </w:p>
              </w:tc>
              <w:tc>
                <w:tcPr>
                  <w:tcW w:w="426" w:type="dxa"/>
                  <w:tcBorders>
                    <w:top w:val="nil"/>
                    <w:left w:val="nil"/>
                    <w:bottom w:val="single" w:sz="8" w:space="0" w:color="auto"/>
                    <w:right w:val="single" w:sz="8" w:space="0" w:color="auto"/>
                  </w:tcBorders>
                  <w:shd w:val="clear" w:color="auto" w:fill="auto"/>
                  <w:vAlign w:val="center"/>
                  <w:hideMark/>
                </w:tcPr>
                <w:p w14:paraId="00FC3A29"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&gt;20 ha</w:t>
                  </w:r>
                </w:p>
              </w:tc>
            </w:tr>
            <w:tr w:rsidR="00A14903" w:rsidRPr="00DC6CE6" w14:paraId="6649FBFF" w14:textId="77777777" w:rsidTr="00120DB4">
              <w:trPr>
                <w:trHeight w:val="315"/>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7DF9460A" w14:textId="77777777" w:rsidR="00A14903" w:rsidRPr="00DC6CE6" w:rsidRDefault="00A14903" w:rsidP="00B3207C">
                  <w:pPr>
                    <w:framePr w:hSpace="141" w:wrap="around" w:vAnchor="text" w:hAnchor="text" w:x="-857" w:y="1"/>
                    <w:suppressOverlap/>
                    <w:rPr>
                      <w:rFonts w:asciiTheme="minorHAnsi" w:eastAsia="Times New Roman" w:hAnsiTheme="minorHAnsi" w:cstheme="minorHAnsi"/>
                      <w:color w:val="000000"/>
                      <w:sz w:val="16"/>
                      <w:szCs w:val="16"/>
                      <w:lang w:eastAsia="it-IT"/>
                    </w:rPr>
                  </w:pPr>
                  <w:r w:rsidRPr="00DC6CE6">
                    <w:rPr>
                      <w:rFonts w:asciiTheme="minorHAnsi" w:eastAsia="Times New Roman" w:hAnsiTheme="minorHAnsi" w:cstheme="minorHAnsi"/>
                      <w:color w:val="000000"/>
                      <w:sz w:val="16"/>
                      <w:szCs w:val="16"/>
                      <w:lang w:eastAsia="it-IT"/>
                    </w:rPr>
                    <w:t>&lt; 10 %</w:t>
                  </w:r>
                </w:p>
              </w:tc>
              <w:tc>
                <w:tcPr>
                  <w:tcW w:w="425" w:type="dxa"/>
                  <w:tcBorders>
                    <w:top w:val="nil"/>
                    <w:left w:val="nil"/>
                    <w:bottom w:val="single" w:sz="8" w:space="0" w:color="auto"/>
                    <w:right w:val="single" w:sz="8" w:space="0" w:color="auto"/>
                  </w:tcBorders>
                  <w:shd w:val="clear" w:color="000000" w:fill="92D050"/>
                  <w:vAlign w:val="center"/>
                  <w:hideMark/>
                </w:tcPr>
                <w:p w14:paraId="5F00D867"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58</w:t>
                  </w:r>
                </w:p>
              </w:tc>
              <w:tc>
                <w:tcPr>
                  <w:tcW w:w="567" w:type="dxa"/>
                  <w:tcBorders>
                    <w:top w:val="nil"/>
                    <w:left w:val="nil"/>
                    <w:bottom w:val="single" w:sz="8" w:space="0" w:color="auto"/>
                    <w:right w:val="single" w:sz="8" w:space="0" w:color="auto"/>
                  </w:tcBorders>
                  <w:shd w:val="clear" w:color="000000" w:fill="92D050"/>
                  <w:vAlign w:val="center"/>
                  <w:hideMark/>
                </w:tcPr>
                <w:p w14:paraId="3E7AE17A"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44</w:t>
                  </w:r>
                </w:p>
              </w:tc>
              <w:tc>
                <w:tcPr>
                  <w:tcW w:w="425" w:type="dxa"/>
                  <w:tcBorders>
                    <w:top w:val="nil"/>
                    <w:left w:val="nil"/>
                    <w:bottom w:val="single" w:sz="8" w:space="0" w:color="auto"/>
                    <w:right w:val="single" w:sz="8" w:space="0" w:color="auto"/>
                  </w:tcBorders>
                  <w:shd w:val="clear" w:color="000000" w:fill="92D050"/>
                  <w:vAlign w:val="center"/>
                  <w:hideMark/>
                </w:tcPr>
                <w:p w14:paraId="0B28DB0B"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36</w:t>
                  </w:r>
                </w:p>
              </w:tc>
              <w:tc>
                <w:tcPr>
                  <w:tcW w:w="567" w:type="dxa"/>
                  <w:tcBorders>
                    <w:top w:val="nil"/>
                    <w:left w:val="nil"/>
                    <w:bottom w:val="single" w:sz="8" w:space="0" w:color="auto"/>
                    <w:right w:val="single" w:sz="8" w:space="0" w:color="auto"/>
                  </w:tcBorders>
                  <w:shd w:val="clear" w:color="000000" w:fill="92D050"/>
                  <w:vAlign w:val="center"/>
                  <w:hideMark/>
                </w:tcPr>
                <w:p w14:paraId="3967E0AE"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73</w:t>
                  </w:r>
                </w:p>
              </w:tc>
              <w:tc>
                <w:tcPr>
                  <w:tcW w:w="567" w:type="dxa"/>
                  <w:tcBorders>
                    <w:top w:val="nil"/>
                    <w:left w:val="nil"/>
                    <w:bottom w:val="single" w:sz="8" w:space="0" w:color="auto"/>
                    <w:right w:val="single" w:sz="8" w:space="0" w:color="auto"/>
                  </w:tcBorders>
                  <w:shd w:val="clear" w:color="000000" w:fill="92D050"/>
                  <w:vAlign w:val="center"/>
                  <w:hideMark/>
                </w:tcPr>
                <w:p w14:paraId="61234914"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58</w:t>
                  </w:r>
                </w:p>
              </w:tc>
              <w:tc>
                <w:tcPr>
                  <w:tcW w:w="425" w:type="dxa"/>
                  <w:tcBorders>
                    <w:top w:val="nil"/>
                    <w:left w:val="nil"/>
                    <w:bottom w:val="single" w:sz="8" w:space="0" w:color="auto"/>
                    <w:right w:val="single" w:sz="8" w:space="0" w:color="auto"/>
                  </w:tcBorders>
                  <w:shd w:val="clear" w:color="000000" w:fill="92D050"/>
                  <w:vAlign w:val="center"/>
                  <w:hideMark/>
                </w:tcPr>
                <w:p w14:paraId="21B76440"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44</w:t>
                  </w:r>
                </w:p>
              </w:tc>
              <w:tc>
                <w:tcPr>
                  <w:tcW w:w="567" w:type="dxa"/>
                  <w:tcBorders>
                    <w:top w:val="nil"/>
                    <w:left w:val="nil"/>
                    <w:bottom w:val="single" w:sz="8" w:space="0" w:color="auto"/>
                    <w:right w:val="single" w:sz="8" w:space="0" w:color="auto"/>
                  </w:tcBorders>
                  <w:shd w:val="clear" w:color="000000" w:fill="92D050"/>
                  <w:vAlign w:val="center"/>
                  <w:hideMark/>
                </w:tcPr>
                <w:p w14:paraId="138DB8E1" w14:textId="77777777" w:rsidR="00A14903" w:rsidRPr="00DC6CE6" w:rsidRDefault="00A14903" w:rsidP="00B3207C">
                  <w:pPr>
                    <w:framePr w:hSpace="141" w:wrap="around" w:vAnchor="text" w:hAnchor="text" w:x="-857" w:y="1"/>
                    <w:ind w:firstLineChars="51" w:firstLine="82"/>
                    <w:suppressOverlap/>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102</w:t>
                  </w:r>
                </w:p>
              </w:tc>
              <w:tc>
                <w:tcPr>
                  <w:tcW w:w="567" w:type="dxa"/>
                  <w:tcBorders>
                    <w:top w:val="nil"/>
                    <w:left w:val="nil"/>
                    <w:bottom w:val="single" w:sz="8" w:space="0" w:color="auto"/>
                    <w:right w:val="single" w:sz="8" w:space="0" w:color="auto"/>
                  </w:tcBorders>
                  <w:shd w:val="clear" w:color="000000" w:fill="92D050"/>
                  <w:vAlign w:val="center"/>
                  <w:hideMark/>
                </w:tcPr>
                <w:p w14:paraId="3EFA4A1C" w14:textId="77777777" w:rsidR="00A14903" w:rsidRPr="00DC6CE6" w:rsidRDefault="00A14903" w:rsidP="00B3207C">
                  <w:pPr>
                    <w:framePr w:hSpace="141" w:wrap="around" w:vAnchor="text" w:hAnchor="text" w:x="-857" w:y="1"/>
                    <w:suppressOverlap/>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73</w:t>
                  </w:r>
                </w:p>
              </w:tc>
              <w:tc>
                <w:tcPr>
                  <w:tcW w:w="426" w:type="dxa"/>
                  <w:tcBorders>
                    <w:top w:val="nil"/>
                    <w:left w:val="nil"/>
                    <w:bottom w:val="single" w:sz="8" w:space="0" w:color="auto"/>
                    <w:right w:val="single" w:sz="8" w:space="0" w:color="auto"/>
                  </w:tcBorders>
                  <w:shd w:val="clear" w:color="000000" w:fill="92D050"/>
                  <w:vAlign w:val="center"/>
                  <w:hideMark/>
                </w:tcPr>
                <w:p w14:paraId="22F9DAC2" w14:textId="77777777" w:rsidR="00A14903" w:rsidRPr="00DC6CE6" w:rsidRDefault="00A14903" w:rsidP="00B3207C">
                  <w:pPr>
                    <w:framePr w:hSpace="141" w:wrap="around" w:vAnchor="text" w:hAnchor="text" w:x="-857" w:y="1"/>
                    <w:suppressOverlap/>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65</w:t>
                  </w:r>
                </w:p>
              </w:tc>
            </w:tr>
            <w:tr w:rsidR="00A14903" w:rsidRPr="00DC6CE6" w14:paraId="5157370B" w14:textId="77777777" w:rsidTr="00120DB4">
              <w:trPr>
                <w:trHeight w:val="315"/>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3F555654" w14:textId="77777777" w:rsidR="00A14903" w:rsidRPr="00DC6CE6" w:rsidRDefault="00A14903" w:rsidP="00B3207C">
                  <w:pPr>
                    <w:framePr w:hSpace="141" w:wrap="around" w:vAnchor="text" w:hAnchor="text" w:x="-857" w:y="1"/>
                    <w:suppressOverlap/>
                    <w:rPr>
                      <w:rFonts w:asciiTheme="minorHAnsi" w:eastAsia="Times New Roman" w:hAnsiTheme="minorHAnsi" w:cstheme="minorHAnsi"/>
                      <w:color w:val="000000"/>
                      <w:sz w:val="16"/>
                      <w:szCs w:val="16"/>
                      <w:lang w:eastAsia="it-IT"/>
                    </w:rPr>
                  </w:pPr>
                  <w:r w:rsidRPr="00DC6CE6">
                    <w:rPr>
                      <w:rFonts w:asciiTheme="minorHAnsi" w:eastAsia="Times New Roman" w:hAnsiTheme="minorHAnsi" w:cstheme="minorHAnsi"/>
                      <w:color w:val="000000"/>
                      <w:sz w:val="16"/>
                      <w:szCs w:val="16"/>
                      <w:lang w:eastAsia="it-IT"/>
                    </w:rPr>
                    <w:t>10 – 20 %</w:t>
                  </w:r>
                </w:p>
              </w:tc>
              <w:tc>
                <w:tcPr>
                  <w:tcW w:w="425" w:type="dxa"/>
                  <w:tcBorders>
                    <w:top w:val="nil"/>
                    <w:left w:val="nil"/>
                    <w:bottom w:val="single" w:sz="8" w:space="0" w:color="auto"/>
                    <w:right w:val="single" w:sz="8" w:space="0" w:color="auto"/>
                  </w:tcBorders>
                  <w:shd w:val="clear" w:color="000000" w:fill="92D050"/>
                  <w:vAlign w:val="center"/>
                  <w:hideMark/>
                </w:tcPr>
                <w:p w14:paraId="47DDB58C"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102</w:t>
                  </w:r>
                </w:p>
              </w:tc>
              <w:tc>
                <w:tcPr>
                  <w:tcW w:w="567" w:type="dxa"/>
                  <w:tcBorders>
                    <w:top w:val="nil"/>
                    <w:left w:val="nil"/>
                    <w:bottom w:val="single" w:sz="8" w:space="0" w:color="auto"/>
                    <w:right w:val="single" w:sz="8" w:space="0" w:color="auto"/>
                  </w:tcBorders>
                  <w:shd w:val="clear" w:color="000000" w:fill="92D050"/>
                  <w:vAlign w:val="center"/>
                  <w:hideMark/>
                </w:tcPr>
                <w:p w14:paraId="1F8A9E51"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73</w:t>
                  </w:r>
                </w:p>
              </w:tc>
              <w:tc>
                <w:tcPr>
                  <w:tcW w:w="425" w:type="dxa"/>
                  <w:tcBorders>
                    <w:top w:val="nil"/>
                    <w:left w:val="nil"/>
                    <w:bottom w:val="single" w:sz="8" w:space="0" w:color="auto"/>
                    <w:right w:val="single" w:sz="8" w:space="0" w:color="auto"/>
                  </w:tcBorders>
                  <w:shd w:val="clear" w:color="000000" w:fill="92D050"/>
                  <w:vAlign w:val="center"/>
                  <w:hideMark/>
                </w:tcPr>
                <w:p w14:paraId="23E856D4"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65</w:t>
                  </w:r>
                </w:p>
              </w:tc>
              <w:tc>
                <w:tcPr>
                  <w:tcW w:w="567" w:type="dxa"/>
                  <w:tcBorders>
                    <w:top w:val="nil"/>
                    <w:left w:val="nil"/>
                    <w:bottom w:val="single" w:sz="8" w:space="0" w:color="auto"/>
                    <w:right w:val="single" w:sz="8" w:space="0" w:color="auto"/>
                  </w:tcBorders>
                  <w:shd w:val="clear" w:color="000000" w:fill="92D050"/>
                  <w:vAlign w:val="center"/>
                  <w:hideMark/>
                </w:tcPr>
                <w:p w14:paraId="2357CED8"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145</w:t>
                  </w:r>
                </w:p>
              </w:tc>
              <w:tc>
                <w:tcPr>
                  <w:tcW w:w="567" w:type="dxa"/>
                  <w:tcBorders>
                    <w:top w:val="nil"/>
                    <w:left w:val="nil"/>
                    <w:bottom w:val="single" w:sz="8" w:space="0" w:color="auto"/>
                    <w:right w:val="single" w:sz="8" w:space="0" w:color="auto"/>
                  </w:tcBorders>
                  <w:shd w:val="clear" w:color="000000" w:fill="92D050"/>
                  <w:vAlign w:val="center"/>
                  <w:hideMark/>
                </w:tcPr>
                <w:p w14:paraId="7AA70769"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109</w:t>
                  </w:r>
                </w:p>
              </w:tc>
              <w:tc>
                <w:tcPr>
                  <w:tcW w:w="425" w:type="dxa"/>
                  <w:tcBorders>
                    <w:top w:val="nil"/>
                    <w:left w:val="nil"/>
                    <w:bottom w:val="single" w:sz="8" w:space="0" w:color="auto"/>
                    <w:right w:val="single" w:sz="8" w:space="0" w:color="auto"/>
                  </w:tcBorders>
                  <w:shd w:val="clear" w:color="000000" w:fill="92D050"/>
                  <w:vAlign w:val="center"/>
                  <w:hideMark/>
                </w:tcPr>
                <w:p w14:paraId="74D44A44"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94</w:t>
                  </w:r>
                </w:p>
              </w:tc>
              <w:tc>
                <w:tcPr>
                  <w:tcW w:w="567" w:type="dxa"/>
                  <w:tcBorders>
                    <w:top w:val="nil"/>
                    <w:left w:val="nil"/>
                    <w:bottom w:val="single" w:sz="8" w:space="0" w:color="auto"/>
                    <w:right w:val="single" w:sz="8" w:space="0" w:color="auto"/>
                  </w:tcBorders>
                  <w:shd w:val="clear" w:color="000000" w:fill="92D050"/>
                  <w:vAlign w:val="center"/>
                  <w:hideMark/>
                </w:tcPr>
                <w:p w14:paraId="0F320E1D" w14:textId="77777777" w:rsidR="00A14903" w:rsidRPr="00DC6CE6" w:rsidRDefault="00A14903" w:rsidP="00B3207C">
                  <w:pPr>
                    <w:framePr w:hSpace="141" w:wrap="around" w:vAnchor="text" w:hAnchor="text" w:x="-857" w:y="1"/>
                    <w:ind w:firstLineChars="51" w:firstLine="82"/>
                    <w:suppressOverlap/>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174</w:t>
                  </w:r>
                </w:p>
              </w:tc>
              <w:tc>
                <w:tcPr>
                  <w:tcW w:w="567" w:type="dxa"/>
                  <w:tcBorders>
                    <w:top w:val="nil"/>
                    <w:left w:val="nil"/>
                    <w:bottom w:val="single" w:sz="8" w:space="0" w:color="auto"/>
                    <w:right w:val="single" w:sz="8" w:space="0" w:color="auto"/>
                  </w:tcBorders>
                  <w:shd w:val="clear" w:color="000000" w:fill="92D050"/>
                  <w:vAlign w:val="center"/>
                  <w:hideMark/>
                </w:tcPr>
                <w:p w14:paraId="0E54284F" w14:textId="77777777" w:rsidR="00A14903" w:rsidRPr="00DC6CE6" w:rsidRDefault="00A14903" w:rsidP="00B3207C">
                  <w:pPr>
                    <w:framePr w:hSpace="141" w:wrap="around" w:vAnchor="text" w:hAnchor="text" w:x="-857" w:y="1"/>
                    <w:suppressOverlap/>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131</w:t>
                  </w:r>
                </w:p>
              </w:tc>
              <w:tc>
                <w:tcPr>
                  <w:tcW w:w="426" w:type="dxa"/>
                  <w:tcBorders>
                    <w:top w:val="nil"/>
                    <w:left w:val="nil"/>
                    <w:bottom w:val="single" w:sz="8" w:space="0" w:color="auto"/>
                    <w:right w:val="single" w:sz="8" w:space="0" w:color="auto"/>
                  </w:tcBorders>
                  <w:shd w:val="clear" w:color="000000" w:fill="92D050"/>
                  <w:vAlign w:val="center"/>
                  <w:hideMark/>
                </w:tcPr>
                <w:p w14:paraId="4D9B13E6" w14:textId="77777777" w:rsidR="00A14903" w:rsidRPr="00DC6CE6" w:rsidRDefault="00A14903" w:rsidP="00B3207C">
                  <w:pPr>
                    <w:framePr w:hSpace="141" w:wrap="around" w:vAnchor="text" w:hAnchor="text" w:x="-857" w:y="1"/>
                    <w:suppressOverlap/>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109</w:t>
                  </w:r>
                </w:p>
              </w:tc>
            </w:tr>
            <w:tr w:rsidR="00A14903" w:rsidRPr="00DC6CE6" w14:paraId="3364F13D" w14:textId="77777777" w:rsidTr="00120DB4">
              <w:trPr>
                <w:trHeight w:val="315"/>
              </w:trPr>
              <w:tc>
                <w:tcPr>
                  <w:tcW w:w="983" w:type="dxa"/>
                  <w:tcBorders>
                    <w:top w:val="nil"/>
                    <w:left w:val="single" w:sz="8" w:space="0" w:color="auto"/>
                    <w:bottom w:val="single" w:sz="8" w:space="0" w:color="auto"/>
                    <w:right w:val="single" w:sz="8" w:space="0" w:color="auto"/>
                  </w:tcBorders>
                  <w:shd w:val="clear" w:color="auto" w:fill="auto"/>
                  <w:vAlign w:val="center"/>
                  <w:hideMark/>
                </w:tcPr>
                <w:p w14:paraId="19E78EB2" w14:textId="77777777" w:rsidR="00A14903" w:rsidRPr="00DC6CE6" w:rsidRDefault="00A14903" w:rsidP="00B3207C">
                  <w:pPr>
                    <w:framePr w:hSpace="141" w:wrap="around" w:vAnchor="text" w:hAnchor="text" w:x="-857" w:y="1"/>
                    <w:suppressOverlap/>
                    <w:rPr>
                      <w:rFonts w:asciiTheme="minorHAnsi" w:eastAsia="Times New Roman" w:hAnsiTheme="minorHAnsi" w:cstheme="minorHAnsi"/>
                      <w:color w:val="000000"/>
                      <w:sz w:val="16"/>
                      <w:szCs w:val="16"/>
                      <w:lang w:eastAsia="it-IT"/>
                    </w:rPr>
                  </w:pPr>
                  <w:r w:rsidRPr="00DC6CE6">
                    <w:rPr>
                      <w:rFonts w:asciiTheme="minorHAnsi" w:eastAsia="Times New Roman" w:hAnsiTheme="minorHAnsi" w:cstheme="minorHAnsi"/>
                      <w:color w:val="000000"/>
                      <w:sz w:val="16"/>
                      <w:szCs w:val="16"/>
                      <w:lang w:eastAsia="it-IT"/>
                    </w:rPr>
                    <w:t>&gt;20 %</w:t>
                  </w:r>
                </w:p>
              </w:tc>
              <w:tc>
                <w:tcPr>
                  <w:tcW w:w="425" w:type="dxa"/>
                  <w:tcBorders>
                    <w:top w:val="nil"/>
                    <w:left w:val="nil"/>
                    <w:bottom w:val="single" w:sz="8" w:space="0" w:color="auto"/>
                    <w:right w:val="single" w:sz="8" w:space="0" w:color="auto"/>
                  </w:tcBorders>
                  <w:shd w:val="clear" w:color="000000" w:fill="92D050"/>
                  <w:vAlign w:val="center"/>
                  <w:hideMark/>
                </w:tcPr>
                <w:p w14:paraId="6359F324"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174</w:t>
                  </w:r>
                </w:p>
              </w:tc>
              <w:tc>
                <w:tcPr>
                  <w:tcW w:w="567" w:type="dxa"/>
                  <w:tcBorders>
                    <w:top w:val="nil"/>
                    <w:left w:val="nil"/>
                    <w:bottom w:val="single" w:sz="8" w:space="0" w:color="auto"/>
                    <w:right w:val="single" w:sz="8" w:space="0" w:color="auto"/>
                  </w:tcBorders>
                  <w:shd w:val="clear" w:color="000000" w:fill="92D050"/>
                  <w:vAlign w:val="center"/>
                  <w:hideMark/>
                </w:tcPr>
                <w:p w14:paraId="0CD199ED"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131</w:t>
                  </w:r>
                </w:p>
              </w:tc>
              <w:tc>
                <w:tcPr>
                  <w:tcW w:w="425" w:type="dxa"/>
                  <w:tcBorders>
                    <w:top w:val="nil"/>
                    <w:left w:val="nil"/>
                    <w:bottom w:val="single" w:sz="8" w:space="0" w:color="auto"/>
                    <w:right w:val="single" w:sz="8" w:space="0" w:color="auto"/>
                  </w:tcBorders>
                  <w:shd w:val="clear" w:color="000000" w:fill="92D050"/>
                  <w:vAlign w:val="center"/>
                  <w:hideMark/>
                </w:tcPr>
                <w:p w14:paraId="600AD783"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116</w:t>
                  </w:r>
                </w:p>
              </w:tc>
              <w:tc>
                <w:tcPr>
                  <w:tcW w:w="567" w:type="dxa"/>
                  <w:tcBorders>
                    <w:top w:val="nil"/>
                    <w:left w:val="nil"/>
                    <w:bottom w:val="single" w:sz="8" w:space="0" w:color="auto"/>
                    <w:right w:val="single" w:sz="8" w:space="0" w:color="auto"/>
                  </w:tcBorders>
                  <w:shd w:val="clear" w:color="000000" w:fill="92D050"/>
                  <w:vAlign w:val="center"/>
                  <w:hideMark/>
                </w:tcPr>
                <w:p w14:paraId="1AFAA232"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290</w:t>
                  </w:r>
                </w:p>
              </w:tc>
              <w:tc>
                <w:tcPr>
                  <w:tcW w:w="567" w:type="dxa"/>
                  <w:tcBorders>
                    <w:top w:val="nil"/>
                    <w:left w:val="nil"/>
                    <w:bottom w:val="single" w:sz="8" w:space="0" w:color="auto"/>
                    <w:right w:val="single" w:sz="8" w:space="0" w:color="auto"/>
                  </w:tcBorders>
                  <w:shd w:val="clear" w:color="000000" w:fill="92D050"/>
                  <w:vAlign w:val="center"/>
                  <w:hideMark/>
                </w:tcPr>
                <w:p w14:paraId="1C2D1755"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218</w:t>
                  </w:r>
                </w:p>
              </w:tc>
              <w:tc>
                <w:tcPr>
                  <w:tcW w:w="425" w:type="dxa"/>
                  <w:tcBorders>
                    <w:top w:val="nil"/>
                    <w:left w:val="nil"/>
                    <w:bottom w:val="single" w:sz="8" w:space="0" w:color="auto"/>
                    <w:right w:val="single" w:sz="8" w:space="0" w:color="auto"/>
                  </w:tcBorders>
                  <w:shd w:val="clear" w:color="000000" w:fill="92D050"/>
                  <w:vAlign w:val="center"/>
                  <w:hideMark/>
                </w:tcPr>
                <w:p w14:paraId="08E4D014" w14:textId="77777777" w:rsidR="00A14903" w:rsidRPr="00DC6CE6" w:rsidRDefault="00A14903" w:rsidP="00B3207C">
                  <w:pPr>
                    <w:framePr w:hSpace="141" w:wrap="around" w:vAnchor="text" w:hAnchor="text" w:x="-857" w:y="1"/>
                    <w:suppressOverlap/>
                    <w:jc w:val="center"/>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189</w:t>
                  </w:r>
                </w:p>
              </w:tc>
              <w:tc>
                <w:tcPr>
                  <w:tcW w:w="567" w:type="dxa"/>
                  <w:tcBorders>
                    <w:top w:val="nil"/>
                    <w:left w:val="nil"/>
                    <w:bottom w:val="single" w:sz="8" w:space="0" w:color="auto"/>
                    <w:right w:val="single" w:sz="8" w:space="0" w:color="auto"/>
                  </w:tcBorders>
                  <w:shd w:val="clear" w:color="000000" w:fill="92D050"/>
                  <w:vAlign w:val="center"/>
                  <w:hideMark/>
                </w:tcPr>
                <w:p w14:paraId="4D0F4B95" w14:textId="77777777" w:rsidR="00A14903" w:rsidRPr="00DC6CE6" w:rsidRDefault="00A14903" w:rsidP="00B3207C">
                  <w:pPr>
                    <w:framePr w:hSpace="141" w:wrap="around" w:vAnchor="text" w:hAnchor="text" w:x="-857" w:y="1"/>
                    <w:ind w:firstLineChars="51" w:firstLine="82"/>
                    <w:suppressOverlap/>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436</w:t>
                  </w:r>
                </w:p>
              </w:tc>
              <w:tc>
                <w:tcPr>
                  <w:tcW w:w="567" w:type="dxa"/>
                  <w:tcBorders>
                    <w:top w:val="nil"/>
                    <w:left w:val="nil"/>
                    <w:bottom w:val="single" w:sz="8" w:space="0" w:color="auto"/>
                    <w:right w:val="single" w:sz="8" w:space="0" w:color="auto"/>
                  </w:tcBorders>
                  <w:shd w:val="clear" w:color="000000" w:fill="92D050"/>
                  <w:vAlign w:val="center"/>
                  <w:hideMark/>
                </w:tcPr>
                <w:p w14:paraId="5ED3756F" w14:textId="77777777" w:rsidR="00A14903" w:rsidRPr="00DC6CE6" w:rsidRDefault="00A14903" w:rsidP="00B3207C">
                  <w:pPr>
                    <w:framePr w:hSpace="141" w:wrap="around" w:vAnchor="text" w:hAnchor="text" w:x="-857" w:y="1"/>
                    <w:suppressOverlap/>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327</w:t>
                  </w:r>
                </w:p>
              </w:tc>
              <w:tc>
                <w:tcPr>
                  <w:tcW w:w="426" w:type="dxa"/>
                  <w:tcBorders>
                    <w:top w:val="nil"/>
                    <w:left w:val="nil"/>
                    <w:bottom w:val="single" w:sz="8" w:space="0" w:color="auto"/>
                    <w:right w:val="single" w:sz="8" w:space="0" w:color="auto"/>
                  </w:tcBorders>
                  <w:shd w:val="clear" w:color="000000" w:fill="92D050"/>
                  <w:vAlign w:val="center"/>
                  <w:hideMark/>
                </w:tcPr>
                <w:p w14:paraId="714D0926" w14:textId="77777777" w:rsidR="00A14903" w:rsidRPr="00DC6CE6" w:rsidRDefault="00A14903" w:rsidP="00B3207C">
                  <w:pPr>
                    <w:framePr w:hSpace="141" w:wrap="around" w:vAnchor="text" w:hAnchor="text" w:x="-857" w:y="1"/>
                    <w:suppressOverlap/>
                    <w:rPr>
                      <w:rFonts w:asciiTheme="minorHAnsi" w:eastAsia="Times New Roman" w:hAnsiTheme="minorHAnsi" w:cstheme="minorHAnsi"/>
                      <w:bCs/>
                      <w:color w:val="000000"/>
                      <w:sz w:val="16"/>
                      <w:szCs w:val="16"/>
                      <w:lang w:eastAsia="it-IT"/>
                    </w:rPr>
                  </w:pPr>
                  <w:r w:rsidRPr="00DC6CE6">
                    <w:rPr>
                      <w:rFonts w:asciiTheme="minorHAnsi" w:eastAsia="Times New Roman" w:hAnsiTheme="minorHAnsi" w:cstheme="minorHAnsi"/>
                      <w:bCs/>
                      <w:color w:val="000000"/>
                      <w:sz w:val="16"/>
                      <w:szCs w:val="16"/>
                      <w:lang w:eastAsia="it-IT"/>
                    </w:rPr>
                    <w:t>276</w:t>
                  </w:r>
                </w:p>
              </w:tc>
            </w:tr>
          </w:tbl>
          <w:p w14:paraId="42878382" w14:textId="77777777" w:rsidR="00A14903" w:rsidRDefault="00A14903" w:rsidP="00A14903">
            <w:pPr>
              <w:jc w:val="both"/>
              <w:rPr>
                <w:rFonts w:asciiTheme="minorHAnsi" w:hAnsiTheme="minorHAnsi"/>
                <w:b/>
                <w:color w:val="auto"/>
                <w:sz w:val="20"/>
                <w:szCs w:val="20"/>
                <w:shd w:val="clear" w:color="auto" w:fill="FFFFFF"/>
              </w:rPr>
            </w:pPr>
          </w:p>
          <w:p w14:paraId="63CCDD9A" w14:textId="77777777" w:rsidR="00A14903" w:rsidRPr="00A14903" w:rsidRDefault="00A14903" w:rsidP="00A14903">
            <w:pPr>
              <w:spacing w:after="120"/>
              <w:ind w:left="198" w:hanging="198"/>
              <w:rPr>
                <w:rFonts w:eastAsia="Times New Roman" w:cs="Times New Roman"/>
                <w:b/>
                <w:bCs/>
                <w:color w:val="000000"/>
                <w:sz w:val="18"/>
                <w:szCs w:val="18"/>
                <w:lang w:eastAsia="it-IT"/>
              </w:rPr>
            </w:pPr>
            <w:r w:rsidRPr="00A14903">
              <w:rPr>
                <w:rFonts w:eastAsia="Times New Roman" w:cs="Times New Roman"/>
                <w:b/>
                <w:bCs/>
                <w:color w:val="000000"/>
                <w:sz w:val="18"/>
                <w:szCs w:val="18"/>
                <w:lang w:eastAsia="it-IT"/>
              </w:rPr>
              <w:lastRenderedPageBreak/>
              <w:t>Sistema agricolo seminativi</w:t>
            </w:r>
          </w:p>
          <w:tbl>
            <w:tblPr>
              <w:tblW w:w="3959" w:type="dxa"/>
              <w:tblCellMar>
                <w:left w:w="70" w:type="dxa"/>
                <w:right w:w="70" w:type="dxa"/>
              </w:tblCellMar>
              <w:tblLook w:val="04A0" w:firstRow="1" w:lastRow="0" w:firstColumn="1" w:lastColumn="0" w:noHBand="0" w:noVBand="1"/>
            </w:tblPr>
            <w:tblGrid>
              <w:gridCol w:w="1408"/>
              <w:gridCol w:w="850"/>
              <w:gridCol w:w="851"/>
              <w:gridCol w:w="850"/>
            </w:tblGrid>
            <w:tr w:rsidR="00A14903" w:rsidRPr="00DC354F" w14:paraId="4315A8CC" w14:textId="77777777" w:rsidTr="00120DB4">
              <w:trPr>
                <w:trHeight w:val="315"/>
              </w:trPr>
              <w:tc>
                <w:tcPr>
                  <w:tcW w:w="1408" w:type="dxa"/>
                  <w:tcBorders>
                    <w:top w:val="single" w:sz="8" w:space="0" w:color="auto"/>
                    <w:left w:val="single" w:sz="8" w:space="0" w:color="auto"/>
                    <w:bottom w:val="single" w:sz="8" w:space="0" w:color="auto"/>
                    <w:right w:val="single" w:sz="8" w:space="0" w:color="auto"/>
                  </w:tcBorders>
                  <w:shd w:val="clear" w:color="000000" w:fill="006600"/>
                  <w:vAlign w:val="center"/>
                  <w:hideMark/>
                </w:tcPr>
                <w:p w14:paraId="455E52CF" w14:textId="77777777" w:rsidR="00A14903" w:rsidRPr="00DC354F" w:rsidRDefault="00A14903" w:rsidP="00B3207C">
                  <w:pPr>
                    <w:framePr w:hSpace="141" w:wrap="around" w:vAnchor="text" w:hAnchor="text" w:x="-857" w:y="1"/>
                    <w:suppressOverlap/>
                    <w:jc w:val="center"/>
                    <w:rPr>
                      <w:rFonts w:eastAsia="Times New Roman" w:cs="Times New Roman"/>
                      <w:bCs/>
                      <w:color w:val="FFFFFF"/>
                      <w:sz w:val="16"/>
                      <w:szCs w:val="16"/>
                      <w:lang w:eastAsia="it-IT"/>
                    </w:rPr>
                  </w:pPr>
                  <w:r w:rsidRPr="00DC354F">
                    <w:rPr>
                      <w:rFonts w:eastAsia="Times New Roman" w:cs="Times New Roman"/>
                      <w:bCs/>
                      <w:color w:val="FFFFFF"/>
                      <w:sz w:val="16"/>
                      <w:szCs w:val="16"/>
                      <w:lang w:eastAsia="it-IT"/>
                    </w:rPr>
                    <w:t>Seminativi</w:t>
                  </w:r>
                </w:p>
              </w:tc>
              <w:tc>
                <w:tcPr>
                  <w:tcW w:w="2551" w:type="dxa"/>
                  <w:gridSpan w:val="3"/>
                  <w:tcBorders>
                    <w:top w:val="single" w:sz="8" w:space="0" w:color="auto"/>
                    <w:left w:val="nil"/>
                    <w:bottom w:val="single" w:sz="8" w:space="0" w:color="auto"/>
                    <w:right w:val="single" w:sz="8" w:space="0" w:color="000000"/>
                  </w:tcBorders>
                  <w:shd w:val="clear" w:color="000000" w:fill="006600"/>
                  <w:vAlign w:val="center"/>
                  <w:hideMark/>
                </w:tcPr>
                <w:p w14:paraId="4E9B9E53" w14:textId="77777777" w:rsidR="00A14903" w:rsidRPr="00DC354F" w:rsidRDefault="00A14903" w:rsidP="00B3207C">
                  <w:pPr>
                    <w:framePr w:hSpace="141" w:wrap="around" w:vAnchor="text" w:hAnchor="text" w:x="-857" w:y="1"/>
                    <w:suppressOverlap/>
                    <w:jc w:val="center"/>
                    <w:rPr>
                      <w:rFonts w:eastAsia="Times New Roman" w:cs="Times New Roman"/>
                      <w:bCs/>
                      <w:color w:val="FFFFFF"/>
                      <w:sz w:val="16"/>
                      <w:szCs w:val="16"/>
                      <w:lang w:eastAsia="it-IT"/>
                    </w:rPr>
                  </w:pPr>
                  <w:r w:rsidRPr="00DC354F">
                    <w:rPr>
                      <w:rFonts w:eastAsia="Times New Roman" w:cs="Times New Roman"/>
                      <w:bCs/>
                      <w:color w:val="FFFFFF"/>
                      <w:sz w:val="16"/>
                      <w:szCs w:val="16"/>
                      <w:lang w:eastAsia="it-IT"/>
                    </w:rPr>
                    <w:t>Totale indennità (€/ha)</w:t>
                  </w:r>
                </w:p>
              </w:tc>
            </w:tr>
            <w:tr w:rsidR="00A14903" w:rsidRPr="00377F41" w14:paraId="5BF95422" w14:textId="77777777" w:rsidTr="00120DB4">
              <w:trPr>
                <w:trHeight w:val="315"/>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30F9815D" w14:textId="77777777" w:rsidR="00A14903" w:rsidRPr="00DC354F" w:rsidRDefault="00A14903" w:rsidP="00B3207C">
                  <w:pPr>
                    <w:framePr w:hSpace="141" w:wrap="around" w:vAnchor="text" w:hAnchor="text" w:x="-857" w:y="1"/>
                    <w:suppressOverlap/>
                    <w:rPr>
                      <w:rFonts w:eastAsia="Times New Roman" w:cs="Times New Roman"/>
                      <w:bCs/>
                      <w:color w:val="000000"/>
                      <w:sz w:val="16"/>
                      <w:szCs w:val="16"/>
                      <w:lang w:eastAsia="it-IT"/>
                    </w:rPr>
                  </w:pPr>
                  <w:r w:rsidRPr="00DC354F">
                    <w:rPr>
                      <w:rFonts w:eastAsia="Times New Roman" w:cs="Times New Roman"/>
                      <w:bCs/>
                      <w:color w:val="000000"/>
                      <w:sz w:val="16"/>
                      <w:szCs w:val="16"/>
                      <w:lang w:eastAsia="it-IT"/>
                    </w:rPr>
                    <w:t>Classe di superficie</w:t>
                  </w:r>
                </w:p>
              </w:tc>
              <w:tc>
                <w:tcPr>
                  <w:tcW w:w="850" w:type="dxa"/>
                  <w:tcBorders>
                    <w:top w:val="nil"/>
                    <w:left w:val="nil"/>
                    <w:bottom w:val="single" w:sz="8" w:space="0" w:color="auto"/>
                    <w:right w:val="single" w:sz="8" w:space="0" w:color="auto"/>
                  </w:tcBorders>
                  <w:shd w:val="clear" w:color="auto" w:fill="auto"/>
                  <w:vAlign w:val="center"/>
                  <w:hideMark/>
                </w:tcPr>
                <w:p w14:paraId="6EE48BCC" w14:textId="77777777" w:rsidR="00A14903" w:rsidRPr="00DC354F" w:rsidRDefault="00A14903" w:rsidP="00B3207C">
                  <w:pPr>
                    <w:framePr w:hSpace="141" w:wrap="around" w:vAnchor="text" w:hAnchor="text" w:x="-857" w:y="1"/>
                    <w:suppressOverlap/>
                    <w:jc w:val="center"/>
                    <w:rPr>
                      <w:rFonts w:eastAsia="Times New Roman" w:cs="Times New Roman"/>
                      <w:bCs/>
                      <w:color w:val="000000"/>
                      <w:sz w:val="16"/>
                      <w:szCs w:val="16"/>
                      <w:lang w:eastAsia="it-IT"/>
                    </w:rPr>
                  </w:pPr>
                  <w:r w:rsidRPr="00DC354F">
                    <w:rPr>
                      <w:rFonts w:eastAsia="Times New Roman" w:cs="Times New Roman"/>
                      <w:bCs/>
                      <w:color w:val="000000"/>
                      <w:sz w:val="16"/>
                      <w:szCs w:val="16"/>
                      <w:lang w:eastAsia="it-IT"/>
                    </w:rPr>
                    <w:t>0 – 10 ha</w:t>
                  </w:r>
                </w:p>
              </w:tc>
              <w:tc>
                <w:tcPr>
                  <w:tcW w:w="851" w:type="dxa"/>
                  <w:tcBorders>
                    <w:top w:val="nil"/>
                    <w:left w:val="nil"/>
                    <w:bottom w:val="single" w:sz="8" w:space="0" w:color="auto"/>
                    <w:right w:val="single" w:sz="8" w:space="0" w:color="auto"/>
                  </w:tcBorders>
                  <w:shd w:val="clear" w:color="auto" w:fill="auto"/>
                  <w:vAlign w:val="center"/>
                  <w:hideMark/>
                </w:tcPr>
                <w:p w14:paraId="50D40818" w14:textId="77777777" w:rsidR="00A14903" w:rsidRPr="00DC354F" w:rsidRDefault="00A14903" w:rsidP="00B3207C">
                  <w:pPr>
                    <w:framePr w:hSpace="141" w:wrap="around" w:vAnchor="text" w:hAnchor="text" w:x="-857" w:y="1"/>
                    <w:suppressOverlap/>
                    <w:jc w:val="center"/>
                    <w:rPr>
                      <w:rFonts w:eastAsia="Times New Roman" w:cs="Times New Roman"/>
                      <w:bCs/>
                      <w:color w:val="000000"/>
                      <w:sz w:val="16"/>
                      <w:szCs w:val="16"/>
                      <w:lang w:eastAsia="it-IT"/>
                    </w:rPr>
                  </w:pPr>
                  <w:r w:rsidRPr="00DC354F">
                    <w:rPr>
                      <w:rFonts w:eastAsia="Times New Roman" w:cs="Times New Roman"/>
                      <w:bCs/>
                      <w:color w:val="000000"/>
                      <w:sz w:val="16"/>
                      <w:szCs w:val="16"/>
                      <w:lang w:eastAsia="it-IT"/>
                    </w:rPr>
                    <w:t>10</w:t>
                  </w:r>
                  <w:r w:rsidRPr="00DC354F">
                    <w:rPr>
                      <w:rFonts w:ascii="Times New Roman" w:eastAsia="Times New Roman" w:hAnsi="Times New Roman" w:cs="Times New Roman"/>
                      <w:bCs/>
                      <w:color w:val="000000"/>
                      <w:sz w:val="16"/>
                      <w:szCs w:val="16"/>
                      <w:lang w:eastAsia="it-IT"/>
                    </w:rPr>
                    <w:t xml:space="preserve">     </w:t>
                  </w:r>
                  <w:r w:rsidRPr="00DC354F">
                    <w:rPr>
                      <w:rFonts w:eastAsia="Times New Roman" w:cs="Times New Roman"/>
                      <w:bCs/>
                      <w:color w:val="000000"/>
                      <w:sz w:val="16"/>
                      <w:szCs w:val="16"/>
                      <w:lang w:eastAsia="it-IT"/>
                    </w:rPr>
                    <w:t xml:space="preserve">– 20 ha </w:t>
                  </w:r>
                </w:p>
              </w:tc>
              <w:tc>
                <w:tcPr>
                  <w:tcW w:w="850" w:type="dxa"/>
                  <w:tcBorders>
                    <w:top w:val="nil"/>
                    <w:left w:val="nil"/>
                    <w:bottom w:val="single" w:sz="8" w:space="0" w:color="auto"/>
                    <w:right w:val="single" w:sz="8" w:space="0" w:color="auto"/>
                  </w:tcBorders>
                  <w:shd w:val="clear" w:color="auto" w:fill="auto"/>
                  <w:vAlign w:val="center"/>
                  <w:hideMark/>
                </w:tcPr>
                <w:p w14:paraId="71476BA4" w14:textId="77777777" w:rsidR="00A14903" w:rsidRPr="00DC354F" w:rsidRDefault="00A14903" w:rsidP="00B3207C">
                  <w:pPr>
                    <w:framePr w:hSpace="141" w:wrap="around" w:vAnchor="text" w:hAnchor="text" w:x="-857" w:y="1"/>
                    <w:ind w:firstLineChars="44" w:firstLine="70"/>
                    <w:suppressOverlap/>
                    <w:rPr>
                      <w:rFonts w:eastAsia="Times New Roman" w:cs="Times New Roman"/>
                      <w:bCs/>
                      <w:color w:val="000000"/>
                      <w:sz w:val="16"/>
                      <w:szCs w:val="16"/>
                      <w:lang w:eastAsia="it-IT"/>
                    </w:rPr>
                  </w:pPr>
                  <w:r w:rsidRPr="00DC354F">
                    <w:rPr>
                      <w:rFonts w:eastAsia="Times New Roman" w:cs="Times New Roman"/>
                      <w:bCs/>
                      <w:color w:val="000000"/>
                      <w:sz w:val="16"/>
                      <w:szCs w:val="16"/>
                      <w:lang w:eastAsia="it-IT"/>
                    </w:rPr>
                    <w:t>&gt; 20 ha</w:t>
                  </w:r>
                </w:p>
              </w:tc>
            </w:tr>
            <w:tr w:rsidR="00A14903" w:rsidRPr="00377F41" w14:paraId="6166E22A" w14:textId="77777777" w:rsidTr="00120DB4">
              <w:trPr>
                <w:trHeight w:val="315"/>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071D8960" w14:textId="77777777" w:rsidR="00A14903" w:rsidRPr="00DC354F" w:rsidRDefault="00A14903" w:rsidP="00B3207C">
                  <w:pPr>
                    <w:framePr w:hSpace="141" w:wrap="around" w:vAnchor="text" w:hAnchor="text" w:x="-857" w:y="1"/>
                    <w:suppressOverlap/>
                    <w:rPr>
                      <w:rFonts w:eastAsia="Times New Roman" w:cs="Times New Roman"/>
                      <w:color w:val="000000"/>
                      <w:sz w:val="16"/>
                      <w:szCs w:val="16"/>
                      <w:lang w:eastAsia="it-IT"/>
                    </w:rPr>
                  </w:pPr>
                  <w:r w:rsidRPr="00DC354F">
                    <w:rPr>
                      <w:rFonts w:eastAsia="Times New Roman" w:cs="Times New Roman"/>
                      <w:color w:val="000000"/>
                      <w:sz w:val="16"/>
                      <w:szCs w:val="16"/>
                      <w:lang w:eastAsia="it-IT"/>
                    </w:rPr>
                    <w:t>&lt; 10 %</w:t>
                  </w:r>
                </w:p>
              </w:tc>
              <w:tc>
                <w:tcPr>
                  <w:tcW w:w="850" w:type="dxa"/>
                  <w:tcBorders>
                    <w:top w:val="nil"/>
                    <w:left w:val="nil"/>
                    <w:bottom w:val="single" w:sz="8" w:space="0" w:color="auto"/>
                    <w:right w:val="single" w:sz="8" w:space="0" w:color="auto"/>
                  </w:tcBorders>
                  <w:shd w:val="clear" w:color="000000" w:fill="92D050"/>
                  <w:vAlign w:val="center"/>
                  <w:hideMark/>
                </w:tcPr>
                <w:p w14:paraId="132BE65E" w14:textId="77777777" w:rsidR="00A14903" w:rsidRPr="00DC354F" w:rsidRDefault="00A14903" w:rsidP="00B3207C">
                  <w:pPr>
                    <w:framePr w:hSpace="141" w:wrap="around" w:vAnchor="text" w:hAnchor="text" w:x="-857" w:y="1"/>
                    <w:suppressOverlap/>
                    <w:jc w:val="right"/>
                    <w:rPr>
                      <w:rFonts w:eastAsia="Times New Roman" w:cs="Times New Roman"/>
                      <w:bCs/>
                      <w:color w:val="000000"/>
                      <w:sz w:val="16"/>
                      <w:szCs w:val="16"/>
                      <w:lang w:eastAsia="it-IT"/>
                    </w:rPr>
                  </w:pPr>
                  <w:r w:rsidRPr="00DC354F">
                    <w:rPr>
                      <w:rFonts w:eastAsia="Times New Roman" w:cs="Times New Roman"/>
                      <w:bCs/>
                      <w:color w:val="000000"/>
                      <w:sz w:val="16"/>
                      <w:szCs w:val="16"/>
                      <w:lang w:eastAsia="it-IT"/>
                    </w:rPr>
                    <w:t>58</w:t>
                  </w:r>
                </w:p>
              </w:tc>
              <w:tc>
                <w:tcPr>
                  <w:tcW w:w="851" w:type="dxa"/>
                  <w:tcBorders>
                    <w:top w:val="nil"/>
                    <w:left w:val="nil"/>
                    <w:bottom w:val="single" w:sz="8" w:space="0" w:color="auto"/>
                    <w:right w:val="single" w:sz="8" w:space="0" w:color="auto"/>
                  </w:tcBorders>
                  <w:shd w:val="clear" w:color="000000" w:fill="92D050"/>
                  <w:vAlign w:val="center"/>
                  <w:hideMark/>
                </w:tcPr>
                <w:p w14:paraId="16316A5C" w14:textId="77777777" w:rsidR="00A14903" w:rsidRPr="00DC354F" w:rsidRDefault="00A14903" w:rsidP="00B3207C">
                  <w:pPr>
                    <w:framePr w:hSpace="141" w:wrap="around" w:vAnchor="text" w:hAnchor="text" w:x="-857" w:y="1"/>
                    <w:suppressOverlap/>
                    <w:jc w:val="right"/>
                    <w:rPr>
                      <w:rFonts w:eastAsia="Times New Roman" w:cs="Times New Roman"/>
                      <w:bCs/>
                      <w:color w:val="000000"/>
                      <w:sz w:val="16"/>
                      <w:szCs w:val="16"/>
                      <w:lang w:eastAsia="it-IT"/>
                    </w:rPr>
                  </w:pPr>
                  <w:r w:rsidRPr="00DC354F">
                    <w:rPr>
                      <w:rFonts w:eastAsia="Times New Roman" w:cs="Times New Roman"/>
                      <w:bCs/>
                      <w:color w:val="000000"/>
                      <w:sz w:val="16"/>
                      <w:szCs w:val="16"/>
                      <w:lang w:eastAsia="it-IT"/>
                    </w:rPr>
                    <w:t>44</w:t>
                  </w:r>
                </w:p>
              </w:tc>
              <w:tc>
                <w:tcPr>
                  <w:tcW w:w="850" w:type="dxa"/>
                  <w:tcBorders>
                    <w:top w:val="nil"/>
                    <w:left w:val="nil"/>
                    <w:bottom w:val="single" w:sz="8" w:space="0" w:color="auto"/>
                    <w:right w:val="single" w:sz="8" w:space="0" w:color="auto"/>
                  </w:tcBorders>
                  <w:shd w:val="clear" w:color="000000" w:fill="92D050"/>
                  <w:vAlign w:val="center"/>
                  <w:hideMark/>
                </w:tcPr>
                <w:p w14:paraId="00CA0678" w14:textId="77777777" w:rsidR="00A14903" w:rsidRPr="00DC354F" w:rsidRDefault="00A14903" w:rsidP="00B3207C">
                  <w:pPr>
                    <w:framePr w:hSpace="141" w:wrap="around" w:vAnchor="text" w:hAnchor="text" w:x="-857" w:y="1"/>
                    <w:suppressOverlap/>
                    <w:jc w:val="right"/>
                    <w:rPr>
                      <w:rFonts w:eastAsia="Times New Roman" w:cs="Times New Roman"/>
                      <w:bCs/>
                      <w:color w:val="000000"/>
                      <w:sz w:val="16"/>
                      <w:szCs w:val="16"/>
                      <w:lang w:eastAsia="it-IT"/>
                    </w:rPr>
                  </w:pPr>
                  <w:r w:rsidRPr="00DC354F">
                    <w:rPr>
                      <w:rFonts w:eastAsia="Times New Roman" w:cs="Times New Roman"/>
                      <w:bCs/>
                      <w:color w:val="000000"/>
                      <w:sz w:val="16"/>
                      <w:szCs w:val="16"/>
                      <w:lang w:eastAsia="it-IT"/>
                    </w:rPr>
                    <w:t>36</w:t>
                  </w:r>
                </w:p>
              </w:tc>
            </w:tr>
            <w:tr w:rsidR="00A14903" w:rsidRPr="00377F41" w14:paraId="1BF18B55" w14:textId="77777777" w:rsidTr="00120DB4">
              <w:trPr>
                <w:trHeight w:val="315"/>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42FF446B" w14:textId="77777777" w:rsidR="00A14903" w:rsidRPr="00DC354F" w:rsidRDefault="00A14903" w:rsidP="00B3207C">
                  <w:pPr>
                    <w:framePr w:hSpace="141" w:wrap="around" w:vAnchor="text" w:hAnchor="text" w:x="-857" w:y="1"/>
                    <w:suppressOverlap/>
                    <w:rPr>
                      <w:rFonts w:eastAsia="Times New Roman" w:cs="Times New Roman"/>
                      <w:color w:val="000000"/>
                      <w:sz w:val="16"/>
                      <w:szCs w:val="16"/>
                      <w:lang w:eastAsia="it-IT"/>
                    </w:rPr>
                  </w:pPr>
                  <w:r w:rsidRPr="00DC354F">
                    <w:rPr>
                      <w:rFonts w:eastAsia="Times New Roman" w:cs="Times New Roman"/>
                      <w:color w:val="000000"/>
                      <w:sz w:val="16"/>
                      <w:szCs w:val="16"/>
                      <w:lang w:eastAsia="it-IT"/>
                    </w:rPr>
                    <w:t>10 – 20 %</w:t>
                  </w:r>
                </w:p>
              </w:tc>
              <w:tc>
                <w:tcPr>
                  <w:tcW w:w="850" w:type="dxa"/>
                  <w:tcBorders>
                    <w:top w:val="nil"/>
                    <w:left w:val="nil"/>
                    <w:bottom w:val="single" w:sz="8" w:space="0" w:color="auto"/>
                    <w:right w:val="single" w:sz="8" w:space="0" w:color="auto"/>
                  </w:tcBorders>
                  <w:shd w:val="clear" w:color="000000" w:fill="92D050"/>
                  <w:vAlign w:val="center"/>
                  <w:hideMark/>
                </w:tcPr>
                <w:p w14:paraId="55F09609" w14:textId="77777777" w:rsidR="00A14903" w:rsidRPr="00DC354F" w:rsidRDefault="00A14903" w:rsidP="00B3207C">
                  <w:pPr>
                    <w:framePr w:hSpace="141" w:wrap="around" w:vAnchor="text" w:hAnchor="text" w:x="-857" w:y="1"/>
                    <w:suppressOverlap/>
                    <w:jc w:val="right"/>
                    <w:rPr>
                      <w:rFonts w:eastAsia="Times New Roman" w:cs="Times New Roman"/>
                      <w:bCs/>
                      <w:color w:val="000000"/>
                      <w:sz w:val="16"/>
                      <w:szCs w:val="16"/>
                      <w:lang w:eastAsia="it-IT"/>
                    </w:rPr>
                  </w:pPr>
                  <w:r w:rsidRPr="00DC354F">
                    <w:rPr>
                      <w:rFonts w:eastAsia="Times New Roman" w:cs="Times New Roman"/>
                      <w:bCs/>
                      <w:color w:val="000000"/>
                      <w:sz w:val="16"/>
                      <w:szCs w:val="16"/>
                      <w:lang w:eastAsia="it-IT"/>
                    </w:rPr>
                    <w:t>102</w:t>
                  </w:r>
                </w:p>
              </w:tc>
              <w:tc>
                <w:tcPr>
                  <w:tcW w:w="851" w:type="dxa"/>
                  <w:tcBorders>
                    <w:top w:val="nil"/>
                    <w:left w:val="nil"/>
                    <w:bottom w:val="single" w:sz="8" w:space="0" w:color="auto"/>
                    <w:right w:val="single" w:sz="8" w:space="0" w:color="auto"/>
                  </w:tcBorders>
                  <w:shd w:val="clear" w:color="000000" w:fill="92D050"/>
                  <w:vAlign w:val="center"/>
                  <w:hideMark/>
                </w:tcPr>
                <w:p w14:paraId="09B8B6F5" w14:textId="77777777" w:rsidR="00A14903" w:rsidRPr="00DC354F" w:rsidRDefault="00A14903" w:rsidP="00B3207C">
                  <w:pPr>
                    <w:framePr w:hSpace="141" w:wrap="around" w:vAnchor="text" w:hAnchor="text" w:x="-857" w:y="1"/>
                    <w:suppressOverlap/>
                    <w:jc w:val="right"/>
                    <w:rPr>
                      <w:rFonts w:eastAsia="Times New Roman" w:cs="Times New Roman"/>
                      <w:bCs/>
                      <w:color w:val="000000"/>
                      <w:sz w:val="16"/>
                      <w:szCs w:val="16"/>
                      <w:lang w:eastAsia="it-IT"/>
                    </w:rPr>
                  </w:pPr>
                  <w:r w:rsidRPr="00DC354F">
                    <w:rPr>
                      <w:rFonts w:eastAsia="Times New Roman" w:cs="Times New Roman"/>
                      <w:bCs/>
                      <w:color w:val="000000"/>
                      <w:sz w:val="16"/>
                      <w:szCs w:val="16"/>
                      <w:lang w:eastAsia="it-IT"/>
                    </w:rPr>
                    <w:t>73</w:t>
                  </w:r>
                </w:p>
              </w:tc>
              <w:tc>
                <w:tcPr>
                  <w:tcW w:w="850" w:type="dxa"/>
                  <w:tcBorders>
                    <w:top w:val="nil"/>
                    <w:left w:val="nil"/>
                    <w:bottom w:val="single" w:sz="8" w:space="0" w:color="auto"/>
                    <w:right w:val="single" w:sz="8" w:space="0" w:color="auto"/>
                  </w:tcBorders>
                  <w:shd w:val="clear" w:color="000000" w:fill="92D050"/>
                  <w:vAlign w:val="center"/>
                  <w:hideMark/>
                </w:tcPr>
                <w:p w14:paraId="0E4F86C2" w14:textId="77777777" w:rsidR="00A14903" w:rsidRPr="00DC354F" w:rsidRDefault="00A14903" w:rsidP="00B3207C">
                  <w:pPr>
                    <w:framePr w:hSpace="141" w:wrap="around" w:vAnchor="text" w:hAnchor="text" w:x="-857" w:y="1"/>
                    <w:suppressOverlap/>
                    <w:jc w:val="right"/>
                    <w:rPr>
                      <w:rFonts w:eastAsia="Times New Roman" w:cs="Times New Roman"/>
                      <w:bCs/>
                      <w:color w:val="000000"/>
                      <w:sz w:val="16"/>
                      <w:szCs w:val="16"/>
                      <w:lang w:eastAsia="it-IT"/>
                    </w:rPr>
                  </w:pPr>
                  <w:r w:rsidRPr="00DC354F">
                    <w:rPr>
                      <w:rFonts w:eastAsia="Times New Roman" w:cs="Times New Roman"/>
                      <w:bCs/>
                      <w:color w:val="000000"/>
                      <w:sz w:val="16"/>
                      <w:szCs w:val="16"/>
                      <w:lang w:eastAsia="it-IT"/>
                    </w:rPr>
                    <w:t>65</w:t>
                  </w:r>
                </w:p>
              </w:tc>
            </w:tr>
            <w:tr w:rsidR="00A14903" w:rsidRPr="00377F41" w14:paraId="0D8508B5" w14:textId="77777777" w:rsidTr="00120DB4">
              <w:trPr>
                <w:trHeight w:val="315"/>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C7B00F7" w14:textId="77777777" w:rsidR="00A14903" w:rsidRPr="00DC354F" w:rsidRDefault="00A14903" w:rsidP="00B3207C">
                  <w:pPr>
                    <w:framePr w:hSpace="141" w:wrap="around" w:vAnchor="text" w:hAnchor="text" w:x="-857" w:y="1"/>
                    <w:suppressOverlap/>
                    <w:rPr>
                      <w:rFonts w:eastAsia="Times New Roman" w:cs="Times New Roman"/>
                      <w:color w:val="000000"/>
                      <w:sz w:val="16"/>
                      <w:szCs w:val="16"/>
                      <w:lang w:eastAsia="it-IT"/>
                    </w:rPr>
                  </w:pPr>
                  <w:r w:rsidRPr="00DC354F">
                    <w:rPr>
                      <w:rFonts w:eastAsia="Times New Roman" w:cs="Times New Roman"/>
                      <w:color w:val="000000"/>
                      <w:sz w:val="16"/>
                      <w:szCs w:val="16"/>
                      <w:lang w:eastAsia="it-IT"/>
                    </w:rPr>
                    <w:t>&gt;20 %</w:t>
                  </w:r>
                </w:p>
              </w:tc>
              <w:tc>
                <w:tcPr>
                  <w:tcW w:w="850" w:type="dxa"/>
                  <w:tcBorders>
                    <w:top w:val="nil"/>
                    <w:left w:val="nil"/>
                    <w:bottom w:val="single" w:sz="8" w:space="0" w:color="auto"/>
                    <w:right w:val="single" w:sz="8" w:space="0" w:color="auto"/>
                  </w:tcBorders>
                  <w:shd w:val="clear" w:color="000000" w:fill="92D050"/>
                  <w:vAlign w:val="center"/>
                  <w:hideMark/>
                </w:tcPr>
                <w:p w14:paraId="35E0C957" w14:textId="77777777" w:rsidR="00A14903" w:rsidRPr="00DC354F" w:rsidRDefault="00A14903" w:rsidP="00B3207C">
                  <w:pPr>
                    <w:framePr w:hSpace="141" w:wrap="around" w:vAnchor="text" w:hAnchor="text" w:x="-857" w:y="1"/>
                    <w:suppressOverlap/>
                    <w:jc w:val="right"/>
                    <w:rPr>
                      <w:rFonts w:eastAsia="Times New Roman" w:cs="Times New Roman"/>
                      <w:bCs/>
                      <w:color w:val="000000"/>
                      <w:sz w:val="16"/>
                      <w:szCs w:val="16"/>
                      <w:lang w:eastAsia="it-IT"/>
                    </w:rPr>
                  </w:pPr>
                  <w:r w:rsidRPr="00DC354F">
                    <w:rPr>
                      <w:rFonts w:eastAsia="Times New Roman" w:cs="Times New Roman"/>
                      <w:bCs/>
                      <w:color w:val="000000"/>
                      <w:sz w:val="16"/>
                      <w:szCs w:val="16"/>
                      <w:lang w:eastAsia="it-IT"/>
                    </w:rPr>
                    <w:t>174</w:t>
                  </w:r>
                </w:p>
              </w:tc>
              <w:tc>
                <w:tcPr>
                  <w:tcW w:w="851" w:type="dxa"/>
                  <w:tcBorders>
                    <w:top w:val="nil"/>
                    <w:left w:val="nil"/>
                    <w:bottom w:val="single" w:sz="8" w:space="0" w:color="auto"/>
                    <w:right w:val="single" w:sz="8" w:space="0" w:color="auto"/>
                  </w:tcBorders>
                  <w:shd w:val="clear" w:color="000000" w:fill="92D050"/>
                  <w:vAlign w:val="center"/>
                  <w:hideMark/>
                </w:tcPr>
                <w:p w14:paraId="0B98DEA2" w14:textId="77777777" w:rsidR="00A14903" w:rsidRPr="00DC354F" w:rsidRDefault="00A14903" w:rsidP="00B3207C">
                  <w:pPr>
                    <w:framePr w:hSpace="141" w:wrap="around" w:vAnchor="text" w:hAnchor="text" w:x="-857" w:y="1"/>
                    <w:suppressOverlap/>
                    <w:jc w:val="right"/>
                    <w:rPr>
                      <w:rFonts w:eastAsia="Times New Roman" w:cs="Times New Roman"/>
                      <w:bCs/>
                      <w:color w:val="000000"/>
                      <w:sz w:val="16"/>
                      <w:szCs w:val="16"/>
                      <w:lang w:eastAsia="it-IT"/>
                    </w:rPr>
                  </w:pPr>
                  <w:r w:rsidRPr="00DC354F">
                    <w:rPr>
                      <w:rFonts w:eastAsia="Times New Roman" w:cs="Times New Roman"/>
                      <w:bCs/>
                      <w:color w:val="000000"/>
                      <w:sz w:val="16"/>
                      <w:szCs w:val="16"/>
                      <w:lang w:eastAsia="it-IT"/>
                    </w:rPr>
                    <w:t>123</w:t>
                  </w:r>
                </w:p>
              </w:tc>
              <w:tc>
                <w:tcPr>
                  <w:tcW w:w="850" w:type="dxa"/>
                  <w:tcBorders>
                    <w:top w:val="nil"/>
                    <w:left w:val="nil"/>
                    <w:bottom w:val="single" w:sz="8" w:space="0" w:color="auto"/>
                    <w:right w:val="single" w:sz="8" w:space="0" w:color="auto"/>
                  </w:tcBorders>
                  <w:shd w:val="clear" w:color="000000" w:fill="92D050"/>
                  <w:vAlign w:val="center"/>
                  <w:hideMark/>
                </w:tcPr>
                <w:p w14:paraId="02A1A008" w14:textId="77777777" w:rsidR="00A14903" w:rsidRPr="00DC354F" w:rsidRDefault="00A14903" w:rsidP="00B3207C">
                  <w:pPr>
                    <w:framePr w:hSpace="141" w:wrap="around" w:vAnchor="text" w:hAnchor="text" w:x="-857" w:y="1"/>
                    <w:suppressOverlap/>
                    <w:jc w:val="right"/>
                    <w:rPr>
                      <w:rFonts w:eastAsia="Times New Roman" w:cs="Times New Roman"/>
                      <w:bCs/>
                      <w:color w:val="000000"/>
                      <w:sz w:val="16"/>
                      <w:szCs w:val="16"/>
                      <w:lang w:eastAsia="it-IT"/>
                    </w:rPr>
                  </w:pPr>
                  <w:r w:rsidRPr="00DC354F">
                    <w:rPr>
                      <w:rFonts w:eastAsia="Times New Roman" w:cs="Times New Roman"/>
                      <w:bCs/>
                      <w:color w:val="000000"/>
                      <w:sz w:val="16"/>
                      <w:szCs w:val="16"/>
                      <w:lang w:eastAsia="it-IT"/>
                    </w:rPr>
                    <w:t>116</w:t>
                  </w:r>
                </w:p>
              </w:tc>
            </w:tr>
          </w:tbl>
          <w:p w14:paraId="43ABCB44" w14:textId="77777777" w:rsidR="005F7F00" w:rsidRDefault="005F7F00" w:rsidP="005F7F00">
            <w:pPr>
              <w:jc w:val="both"/>
              <w:rPr>
                <w:rFonts w:asciiTheme="minorHAnsi" w:hAnsiTheme="minorHAnsi"/>
                <w:color w:val="auto"/>
                <w:sz w:val="20"/>
                <w:szCs w:val="20"/>
                <w:shd w:val="clear" w:color="auto" w:fill="FFFFFF"/>
              </w:rPr>
            </w:pPr>
          </w:p>
          <w:p w14:paraId="30A1D36F" w14:textId="77777777" w:rsidR="00A14903" w:rsidRDefault="00A14903" w:rsidP="00A14903">
            <w:pPr>
              <w:jc w:val="both"/>
              <w:rPr>
                <w:rFonts w:asciiTheme="minorHAnsi" w:hAnsiTheme="minorHAnsi"/>
                <w:b/>
                <w:color w:val="auto"/>
                <w:sz w:val="20"/>
                <w:szCs w:val="20"/>
                <w:shd w:val="clear" w:color="auto" w:fill="FFFFFF"/>
              </w:rPr>
            </w:pPr>
          </w:p>
          <w:tbl>
            <w:tblPr>
              <w:tblpPr w:leftFromText="141" w:rightFromText="141" w:vertAnchor="text" w:horzAnchor="margin" w:tblpY="357"/>
              <w:tblOverlap w:val="never"/>
              <w:tblW w:w="4395" w:type="dxa"/>
              <w:tblCellMar>
                <w:left w:w="70" w:type="dxa"/>
                <w:right w:w="70" w:type="dxa"/>
              </w:tblCellMar>
              <w:tblLook w:val="04A0" w:firstRow="1" w:lastRow="0" w:firstColumn="1" w:lastColumn="0" w:noHBand="0" w:noVBand="1"/>
            </w:tblPr>
            <w:tblGrid>
              <w:gridCol w:w="1985"/>
              <w:gridCol w:w="709"/>
              <w:gridCol w:w="850"/>
              <w:gridCol w:w="851"/>
            </w:tblGrid>
            <w:tr w:rsidR="00A14903" w:rsidRPr="002044ED" w14:paraId="03B51E16" w14:textId="77777777" w:rsidTr="00120DB4">
              <w:trPr>
                <w:trHeight w:val="315"/>
              </w:trPr>
              <w:tc>
                <w:tcPr>
                  <w:tcW w:w="1985" w:type="dxa"/>
                  <w:tcBorders>
                    <w:top w:val="single" w:sz="8" w:space="0" w:color="auto"/>
                    <w:left w:val="single" w:sz="8" w:space="0" w:color="auto"/>
                    <w:bottom w:val="single" w:sz="8" w:space="0" w:color="auto"/>
                    <w:right w:val="single" w:sz="8" w:space="0" w:color="auto"/>
                  </w:tcBorders>
                  <w:shd w:val="clear" w:color="000000" w:fill="006600"/>
                  <w:vAlign w:val="center"/>
                  <w:hideMark/>
                </w:tcPr>
                <w:p w14:paraId="4B391A19" w14:textId="77777777" w:rsidR="00A14903" w:rsidRPr="000132CD" w:rsidRDefault="00A14903" w:rsidP="00A14903">
                  <w:pPr>
                    <w:rPr>
                      <w:rFonts w:eastAsia="Times New Roman" w:cs="Times New Roman"/>
                      <w:bCs/>
                      <w:color w:val="FFFFFF"/>
                      <w:sz w:val="16"/>
                      <w:szCs w:val="16"/>
                      <w:lang w:eastAsia="it-IT"/>
                    </w:rPr>
                  </w:pPr>
                  <w:r w:rsidRPr="000132CD">
                    <w:rPr>
                      <w:rFonts w:eastAsia="Times New Roman" w:cs="Times New Roman"/>
                      <w:bCs/>
                      <w:color w:val="FFFFFF"/>
                      <w:sz w:val="16"/>
                      <w:szCs w:val="16"/>
                      <w:lang w:eastAsia="it-IT"/>
                    </w:rPr>
                    <w:t>Coltura</w:t>
                  </w:r>
                </w:p>
              </w:tc>
              <w:tc>
                <w:tcPr>
                  <w:tcW w:w="2410" w:type="dxa"/>
                  <w:gridSpan w:val="3"/>
                  <w:tcBorders>
                    <w:top w:val="single" w:sz="8" w:space="0" w:color="auto"/>
                    <w:left w:val="nil"/>
                    <w:bottom w:val="single" w:sz="8" w:space="0" w:color="auto"/>
                    <w:right w:val="single" w:sz="8" w:space="0" w:color="000000"/>
                  </w:tcBorders>
                  <w:shd w:val="clear" w:color="000000" w:fill="006600"/>
                  <w:vAlign w:val="center"/>
                  <w:hideMark/>
                </w:tcPr>
                <w:p w14:paraId="68AB0393" w14:textId="77777777" w:rsidR="00A14903" w:rsidRPr="000132CD" w:rsidRDefault="00A14903" w:rsidP="00A14903">
                  <w:pPr>
                    <w:jc w:val="center"/>
                    <w:rPr>
                      <w:rFonts w:eastAsia="Times New Roman" w:cs="Times New Roman"/>
                      <w:bCs/>
                      <w:color w:val="FFFFFF"/>
                      <w:sz w:val="16"/>
                      <w:szCs w:val="16"/>
                      <w:lang w:eastAsia="it-IT"/>
                    </w:rPr>
                  </w:pPr>
                  <w:r w:rsidRPr="000132CD">
                    <w:rPr>
                      <w:rFonts w:eastAsia="Times New Roman" w:cs="Times New Roman"/>
                      <w:bCs/>
                      <w:color w:val="FFFFFF"/>
                      <w:sz w:val="16"/>
                      <w:szCs w:val="16"/>
                      <w:lang w:eastAsia="it-IT"/>
                    </w:rPr>
                    <w:t>Totale indennità (€/ha)</w:t>
                  </w:r>
                </w:p>
              </w:tc>
            </w:tr>
            <w:tr w:rsidR="00A14903" w:rsidRPr="002044ED" w14:paraId="7C114A27" w14:textId="77777777" w:rsidTr="00120DB4">
              <w:trPr>
                <w:trHeight w:val="315"/>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564FD2E2" w14:textId="77777777" w:rsidR="00A14903" w:rsidRPr="000132CD" w:rsidRDefault="00A14903" w:rsidP="00A14903">
                  <w:pPr>
                    <w:rPr>
                      <w:rFonts w:eastAsia="Times New Roman" w:cs="Times New Roman"/>
                      <w:bCs/>
                      <w:color w:val="000000"/>
                      <w:sz w:val="16"/>
                      <w:szCs w:val="16"/>
                      <w:lang w:eastAsia="it-IT"/>
                    </w:rPr>
                  </w:pPr>
                  <w:r w:rsidRPr="000132CD">
                    <w:rPr>
                      <w:rFonts w:eastAsia="Times New Roman" w:cs="Times New Roman"/>
                      <w:bCs/>
                      <w:color w:val="000000"/>
                      <w:sz w:val="16"/>
                      <w:szCs w:val="16"/>
                      <w:lang w:eastAsia="it-IT"/>
                    </w:rPr>
                    <w:t>Classe di superficie</w:t>
                  </w:r>
                </w:p>
              </w:tc>
              <w:tc>
                <w:tcPr>
                  <w:tcW w:w="709" w:type="dxa"/>
                  <w:tcBorders>
                    <w:top w:val="nil"/>
                    <w:left w:val="nil"/>
                    <w:bottom w:val="single" w:sz="8" w:space="0" w:color="auto"/>
                    <w:right w:val="single" w:sz="8" w:space="0" w:color="auto"/>
                  </w:tcBorders>
                  <w:shd w:val="clear" w:color="auto" w:fill="auto"/>
                  <w:vAlign w:val="center"/>
                  <w:hideMark/>
                </w:tcPr>
                <w:p w14:paraId="4F5A1E56" w14:textId="77777777" w:rsidR="00A14903" w:rsidRPr="000132CD" w:rsidRDefault="00A14903" w:rsidP="00A14903">
                  <w:pPr>
                    <w:jc w:val="center"/>
                    <w:rPr>
                      <w:rFonts w:eastAsia="Times New Roman" w:cs="Times New Roman"/>
                      <w:bCs/>
                      <w:color w:val="000000"/>
                      <w:sz w:val="16"/>
                      <w:szCs w:val="16"/>
                      <w:lang w:eastAsia="it-IT"/>
                    </w:rPr>
                  </w:pPr>
                  <w:r w:rsidRPr="000132CD">
                    <w:rPr>
                      <w:rFonts w:eastAsia="Times New Roman" w:cs="Times New Roman"/>
                      <w:bCs/>
                      <w:color w:val="000000"/>
                      <w:sz w:val="16"/>
                      <w:szCs w:val="16"/>
                      <w:lang w:eastAsia="it-IT"/>
                    </w:rPr>
                    <w:t>0 – 5 ha</w:t>
                  </w:r>
                </w:p>
              </w:tc>
              <w:tc>
                <w:tcPr>
                  <w:tcW w:w="850" w:type="dxa"/>
                  <w:tcBorders>
                    <w:top w:val="nil"/>
                    <w:left w:val="nil"/>
                    <w:bottom w:val="single" w:sz="8" w:space="0" w:color="auto"/>
                    <w:right w:val="single" w:sz="8" w:space="0" w:color="auto"/>
                  </w:tcBorders>
                  <w:shd w:val="clear" w:color="auto" w:fill="auto"/>
                  <w:vAlign w:val="center"/>
                  <w:hideMark/>
                </w:tcPr>
                <w:p w14:paraId="4F4ABB35" w14:textId="77777777" w:rsidR="00A14903" w:rsidRPr="000132CD" w:rsidRDefault="00A14903" w:rsidP="00A14903">
                  <w:pPr>
                    <w:jc w:val="center"/>
                    <w:rPr>
                      <w:rFonts w:eastAsia="Times New Roman" w:cs="Times New Roman"/>
                      <w:bCs/>
                      <w:color w:val="000000"/>
                      <w:sz w:val="16"/>
                      <w:szCs w:val="16"/>
                      <w:lang w:eastAsia="it-IT"/>
                    </w:rPr>
                  </w:pPr>
                  <w:r w:rsidRPr="000132CD">
                    <w:rPr>
                      <w:rFonts w:eastAsia="Times New Roman" w:cs="Times New Roman"/>
                      <w:bCs/>
                      <w:color w:val="000000"/>
                      <w:sz w:val="16"/>
                      <w:szCs w:val="16"/>
                      <w:lang w:eastAsia="it-IT"/>
                    </w:rPr>
                    <w:t>5 – 10 ha</w:t>
                  </w:r>
                </w:p>
              </w:tc>
              <w:tc>
                <w:tcPr>
                  <w:tcW w:w="851" w:type="dxa"/>
                  <w:tcBorders>
                    <w:top w:val="nil"/>
                    <w:left w:val="nil"/>
                    <w:bottom w:val="single" w:sz="8" w:space="0" w:color="auto"/>
                    <w:right w:val="single" w:sz="8" w:space="0" w:color="auto"/>
                  </w:tcBorders>
                  <w:shd w:val="clear" w:color="auto" w:fill="auto"/>
                  <w:vAlign w:val="center"/>
                  <w:hideMark/>
                </w:tcPr>
                <w:p w14:paraId="00FCC4A9" w14:textId="77777777" w:rsidR="00A14903" w:rsidRPr="000132CD" w:rsidRDefault="00A14903" w:rsidP="00A14903">
                  <w:pPr>
                    <w:jc w:val="center"/>
                    <w:rPr>
                      <w:rFonts w:eastAsia="Times New Roman" w:cs="Times New Roman"/>
                      <w:bCs/>
                      <w:color w:val="000000"/>
                      <w:sz w:val="16"/>
                      <w:szCs w:val="16"/>
                      <w:lang w:eastAsia="it-IT"/>
                    </w:rPr>
                  </w:pPr>
                  <w:r w:rsidRPr="000132CD">
                    <w:rPr>
                      <w:rFonts w:eastAsia="Times New Roman" w:cs="Times New Roman"/>
                      <w:bCs/>
                      <w:color w:val="000000"/>
                      <w:sz w:val="16"/>
                      <w:szCs w:val="16"/>
                      <w:lang w:eastAsia="it-IT"/>
                    </w:rPr>
                    <w:t>&gt; 10 ha</w:t>
                  </w:r>
                </w:p>
              </w:tc>
            </w:tr>
            <w:tr w:rsidR="00A14903" w:rsidRPr="002044ED" w14:paraId="3082C998" w14:textId="77777777" w:rsidTr="00120DB4">
              <w:trPr>
                <w:trHeight w:val="428"/>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3E56B44D" w14:textId="77777777" w:rsidR="00A14903" w:rsidRPr="000132CD" w:rsidRDefault="00A14903" w:rsidP="00A14903">
                  <w:pPr>
                    <w:rPr>
                      <w:rFonts w:eastAsia="Times New Roman" w:cs="Times New Roman"/>
                      <w:color w:val="000000"/>
                      <w:sz w:val="16"/>
                      <w:szCs w:val="16"/>
                      <w:lang w:eastAsia="it-IT"/>
                    </w:rPr>
                  </w:pPr>
                  <w:r w:rsidRPr="000132CD">
                    <w:rPr>
                      <w:rFonts w:eastAsia="Times New Roman" w:cs="Times New Roman"/>
                      <w:color w:val="000000"/>
                      <w:sz w:val="16"/>
                      <w:szCs w:val="16"/>
                      <w:lang w:eastAsia="it-IT"/>
                    </w:rPr>
                    <w:t>Frutticoltura specializzata</w:t>
                  </w:r>
                </w:p>
              </w:tc>
              <w:tc>
                <w:tcPr>
                  <w:tcW w:w="709" w:type="dxa"/>
                  <w:tcBorders>
                    <w:top w:val="nil"/>
                    <w:left w:val="nil"/>
                    <w:bottom w:val="single" w:sz="8" w:space="0" w:color="auto"/>
                    <w:right w:val="single" w:sz="8" w:space="0" w:color="auto"/>
                  </w:tcBorders>
                  <w:shd w:val="clear" w:color="000000" w:fill="92D050"/>
                  <w:vAlign w:val="center"/>
                  <w:hideMark/>
                </w:tcPr>
                <w:p w14:paraId="1F4FD633" w14:textId="77777777" w:rsidR="00A14903" w:rsidRPr="000132CD" w:rsidRDefault="00A14903" w:rsidP="00A14903">
                  <w:pPr>
                    <w:jc w:val="right"/>
                    <w:rPr>
                      <w:rFonts w:eastAsia="Times New Roman" w:cs="Times New Roman"/>
                      <w:bCs/>
                      <w:color w:val="000000"/>
                      <w:sz w:val="16"/>
                      <w:szCs w:val="16"/>
                      <w:lang w:eastAsia="it-IT"/>
                    </w:rPr>
                  </w:pPr>
                  <w:r w:rsidRPr="000132CD">
                    <w:rPr>
                      <w:rFonts w:eastAsia="Times New Roman" w:cs="Times New Roman"/>
                      <w:bCs/>
                      <w:color w:val="000000"/>
                      <w:sz w:val="16"/>
                      <w:szCs w:val="16"/>
                      <w:lang w:eastAsia="it-IT"/>
                    </w:rPr>
                    <w:t>261</w:t>
                  </w:r>
                </w:p>
              </w:tc>
              <w:tc>
                <w:tcPr>
                  <w:tcW w:w="850" w:type="dxa"/>
                  <w:tcBorders>
                    <w:top w:val="nil"/>
                    <w:left w:val="nil"/>
                    <w:bottom w:val="single" w:sz="8" w:space="0" w:color="auto"/>
                    <w:right w:val="single" w:sz="8" w:space="0" w:color="auto"/>
                  </w:tcBorders>
                  <w:shd w:val="clear" w:color="000000" w:fill="92D050"/>
                  <w:vAlign w:val="center"/>
                  <w:hideMark/>
                </w:tcPr>
                <w:p w14:paraId="54D92F67" w14:textId="77777777" w:rsidR="00A14903" w:rsidRPr="000132CD" w:rsidRDefault="00A14903" w:rsidP="00A14903">
                  <w:pPr>
                    <w:jc w:val="right"/>
                    <w:rPr>
                      <w:rFonts w:eastAsia="Times New Roman" w:cs="Times New Roman"/>
                      <w:bCs/>
                      <w:color w:val="000000"/>
                      <w:sz w:val="16"/>
                      <w:szCs w:val="16"/>
                      <w:lang w:eastAsia="it-IT"/>
                    </w:rPr>
                  </w:pPr>
                  <w:r w:rsidRPr="000132CD">
                    <w:rPr>
                      <w:rFonts w:eastAsia="Times New Roman" w:cs="Times New Roman"/>
                      <w:bCs/>
                      <w:color w:val="000000"/>
                      <w:sz w:val="16"/>
                      <w:szCs w:val="16"/>
                      <w:lang w:eastAsia="it-IT"/>
                    </w:rPr>
                    <w:t>232</w:t>
                  </w:r>
                </w:p>
              </w:tc>
              <w:tc>
                <w:tcPr>
                  <w:tcW w:w="851" w:type="dxa"/>
                  <w:tcBorders>
                    <w:top w:val="nil"/>
                    <w:left w:val="nil"/>
                    <w:bottom w:val="single" w:sz="8" w:space="0" w:color="auto"/>
                    <w:right w:val="single" w:sz="8" w:space="0" w:color="auto"/>
                  </w:tcBorders>
                  <w:shd w:val="clear" w:color="000000" w:fill="92D050"/>
                  <w:vAlign w:val="center"/>
                  <w:hideMark/>
                </w:tcPr>
                <w:p w14:paraId="2AFC6A32" w14:textId="77777777" w:rsidR="00A14903" w:rsidRPr="000132CD" w:rsidRDefault="00A14903" w:rsidP="00A14903">
                  <w:pPr>
                    <w:jc w:val="right"/>
                    <w:rPr>
                      <w:rFonts w:eastAsia="Times New Roman" w:cs="Times New Roman"/>
                      <w:bCs/>
                      <w:color w:val="000000"/>
                      <w:sz w:val="16"/>
                      <w:szCs w:val="16"/>
                      <w:lang w:eastAsia="it-IT"/>
                    </w:rPr>
                  </w:pPr>
                  <w:r w:rsidRPr="000132CD">
                    <w:rPr>
                      <w:rFonts w:eastAsia="Times New Roman" w:cs="Times New Roman"/>
                      <w:bCs/>
                      <w:color w:val="000000"/>
                      <w:sz w:val="16"/>
                      <w:szCs w:val="16"/>
                      <w:lang w:eastAsia="it-IT"/>
                    </w:rPr>
                    <w:t>131</w:t>
                  </w:r>
                </w:p>
              </w:tc>
            </w:tr>
            <w:tr w:rsidR="00A14903" w:rsidRPr="002044ED" w14:paraId="5CCB476B" w14:textId="77777777" w:rsidTr="00120DB4">
              <w:trPr>
                <w:trHeight w:val="494"/>
              </w:trPr>
              <w:tc>
                <w:tcPr>
                  <w:tcW w:w="1985" w:type="dxa"/>
                  <w:tcBorders>
                    <w:top w:val="nil"/>
                    <w:left w:val="single" w:sz="8" w:space="0" w:color="auto"/>
                    <w:bottom w:val="single" w:sz="8" w:space="0" w:color="auto"/>
                    <w:right w:val="single" w:sz="8" w:space="0" w:color="auto"/>
                  </w:tcBorders>
                  <w:shd w:val="clear" w:color="auto" w:fill="auto"/>
                  <w:vAlign w:val="center"/>
                  <w:hideMark/>
                </w:tcPr>
                <w:p w14:paraId="247CA65C" w14:textId="77777777" w:rsidR="00A14903" w:rsidRPr="000132CD" w:rsidRDefault="00A14903" w:rsidP="00A14903">
                  <w:pPr>
                    <w:rPr>
                      <w:rFonts w:eastAsia="Times New Roman" w:cs="Times New Roman"/>
                      <w:color w:val="000000"/>
                      <w:sz w:val="16"/>
                      <w:szCs w:val="16"/>
                      <w:lang w:eastAsia="it-IT"/>
                    </w:rPr>
                  </w:pPr>
                  <w:r w:rsidRPr="000132CD">
                    <w:rPr>
                      <w:rFonts w:eastAsia="Times New Roman" w:cs="Times New Roman"/>
                      <w:color w:val="000000"/>
                      <w:sz w:val="16"/>
                      <w:szCs w:val="16"/>
                      <w:lang w:eastAsia="it-IT"/>
                    </w:rPr>
                    <w:t>Frutticoltura specializzata - terrazzamento</w:t>
                  </w:r>
                </w:p>
              </w:tc>
              <w:tc>
                <w:tcPr>
                  <w:tcW w:w="709" w:type="dxa"/>
                  <w:tcBorders>
                    <w:top w:val="nil"/>
                    <w:left w:val="nil"/>
                    <w:bottom w:val="single" w:sz="8" w:space="0" w:color="auto"/>
                    <w:right w:val="single" w:sz="8" w:space="0" w:color="auto"/>
                  </w:tcBorders>
                  <w:shd w:val="clear" w:color="000000" w:fill="92D050"/>
                  <w:vAlign w:val="center"/>
                  <w:hideMark/>
                </w:tcPr>
                <w:p w14:paraId="5D06DE9A" w14:textId="77777777" w:rsidR="00A14903" w:rsidRPr="000132CD" w:rsidRDefault="00A14903" w:rsidP="00A14903">
                  <w:pPr>
                    <w:jc w:val="right"/>
                    <w:rPr>
                      <w:rFonts w:eastAsia="Times New Roman" w:cs="Times New Roman"/>
                      <w:bCs/>
                      <w:color w:val="000000"/>
                      <w:sz w:val="16"/>
                      <w:szCs w:val="16"/>
                      <w:lang w:eastAsia="it-IT"/>
                    </w:rPr>
                  </w:pPr>
                  <w:r w:rsidRPr="000132CD">
                    <w:rPr>
                      <w:rFonts w:eastAsia="Times New Roman" w:cs="Times New Roman"/>
                      <w:bCs/>
                      <w:color w:val="000000"/>
                      <w:sz w:val="16"/>
                      <w:szCs w:val="16"/>
                      <w:lang w:eastAsia="it-IT"/>
                    </w:rPr>
                    <w:t>653</w:t>
                  </w:r>
                </w:p>
              </w:tc>
              <w:tc>
                <w:tcPr>
                  <w:tcW w:w="850" w:type="dxa"/>
                  <w:tcBorders>
                    <w:top w:val="nil"/>
                    <w:left w:val="nil"/>
                    <w:bottom w:val="single" w:sz="8" w:space="0" w:color="auto"/>
                    <w:right w:val="single" w:sz="8" w:space="0" w:color="auto"/>
                  </w:tcBorders>
                  <w:shd w:val="clear" w:color="000000" w:fill="92D050"/>
                  <w:vAlign w:val="center"/>
                  <w:hideMark/>
                </w:tcPr>
                <w:p w14:paraId="6B96A936" w14:textId="77777777" w:rsidR="00A14903" w:rsidRPr="000132CD" w:rsidRDefault="00A14903" w:rsidP="00A14903">
                  <w:pPr>
                    <w:jc w:val="right"/>
                    <w:rPr>
                      <w:rFonts w:eastAsia="Times New Roman" w:cs="Times New Roman"/>
                      <w:bCs/>
                      <w:color w:val="000000"/>
                      <w:sz w:val="16"/>
                      <w:szCs w:val="16"/>
                      <w:lang w:eastAsia="it-IT"/>
                    </w:rPr>
                  </w:pPr>
                  <w:r w:rsidRPr="000132CD">
                    <w:rPr>
                      <w:rFonts w:eastAsia="Times New Roman" w:cs="Times New Roman"/>
                      <w:bCs/>
                      <w:color w:val="000000"/>
                      <w:sz w:val="16"/>
                      <w:szCs w:val="16"/>
                      <w:lang w:eastAsia="it-IT"/>
                    </w:rPr>
                    <w:t>581</w:t>
                  </w:r>
                </w:p>
              </w:tc>
              <w:tc>
                <w:tcPr>
                  <w:tcW w:w="851" w:type="dxa"/>
                  <w:tcBorders>
                    <w:top w:val="nil"/>
                    <w:left w:val="nil"/>
                    <w:bottom w:val="single" w:sz="8" w:space="0" w:color="auto"/>
                    <w:right w:val="single" w:sz="8" w:space="0" w:color="auto"/>
                  </w:tcBorders>
                  <w:shd w:val="clear" w:color="000000" w:fill="92D050"/>
                  <w:vAlign w:val="center"/>
                  <w:hideMark/>
                </w:tcPr>
                <w:p w14:paraId="0DE672B5" w14:textId="77777777" w:rsidR="00A14903" w:rsidRPr="000132CD" w:rsidRDefault="00A14903" w:rsidP="00A14903">
                  <w:pPr>
                    <w:jc w:val="right"/>
                    <w:rPr>
                      <w:rFonts w:eastAsia="Times New Roman" w:cs="Times New Roman"/>
                      <w:bCs/>
                      <w:color w:val="000000"/>
                      <w:sz w:val="16"/>
                      <w:szCs w:val="16"/>
                      <w:lang w:eastAsia="it-IT"/>
                    </w:rPr>
                  </w:pPr>
                  <w:r w:rsidRPr="000132CD">
                    <w:rPr>
                      <w:rFonts w:eastAsia="Times New Roman" w:cs="Times New Roman"/>
                      <w:bCs/>
                      <w:color w:val="000000"/>
                      <w:sz w:val="16"/>
                      <w:szCs w:val="16"/>
                      <w:lang w:eastAsia="it-IT"/>
                    </w:rPr>
                    <w:t>327</w:t>
                  </w:r>
                </w:p>
              </w:tc>
            </w:tr>
          </w:tbl>
          <w:p w14:paraId="7D7FC084" w14:textId="77777777" w:rsidR="00A14903" w:rsidRPr="00EA65CF" w:rsidRDefault="00A14903" w:rsidP="00A14903">
            <w:pPr>
              <w:ind w:left="198" w:hanging="198"/>
              <w:rPr>
                <w:sz w:val="20"/>
                <w:szCs w:val="20"/>
                <w:shd w:val="clear" w:color="auto" w:fill="FFFFFF"/>
              </w:rPr>
            </w:pPr>
            <w:r w:rsidRPr="00A14903">
              <w:rPr>
                <w:rFonts w:eastAsia="Times New Roman" w:cs="Times New Roman"/>
                <w:b/>
                <w:bCs/>
                <w:color w:val="000000"/>
                <w:sz w:val="18"/>
                <w:szCs w:val="18"/>
                <w:lang w:eastAsia="it-IT"/>
              </w:rPr>
              <w:t>Sistema agricolo frutticoltura specializzata</w:t>
            </w:r>
          </w:p>
          <w:p w14:paraId="29097054" w14:textId="77777777" w:rsidR="00A14903" w:rsidRDefault="00A14903" w:rsidP="00A14903">
            <w:pPr>
              <w:jc w:val="both"/>
              <w:rPr>
                <w:sz w:val="20"/>
                <w:szCs w:val="20"/>
                <w:shd w:val="clear" w:color="auto" w:fill="FFFFFF"/>
              </w:rPr>
            </w:pPr>
          </w:p>
          <w:p w14:paraId="6A272167" w14:textId="77777777" w:rsidR="00A14903" w:rsidRPr="00EA65CF" w:rsidRDefault="00A14903" w:rsidP="00A14903">
            <w:pPr>
              <w:jc w:val="both"/>
              <w:rPr>
                <w:sz w:val="20"/>
                <w:szCs w:val="20"/>
                <w:shd w:val="clear" w:color="auto" w:fill="FFFFFF"/>
              </w:rPr>
            </w:pPr>
          </w:p>
          <w:p w14:paraId="7A3952EB" w14:textId="77777777" w:rsidR="00A14903" w:rsidRDefault="00A14903" w:rsidP="00A14903">
            <w:pPr>
              <w:jc w:val="both"/>
              <w:rPr>
                <w:rFonts w:asciiTheme="minorHAnsi" w:hAnsiTheme="minorHAnsi"/>
                <w:color w:val="auto"/>
                <w:sz w:val="20"/>
                <w:szCs w:val="20"/>
                <w:shd w:val="clear" w:color="auto" w:fill="FFFFFF"/>
              </w:rPr>
            </w:pPr>
          </w:p>
          <w:p w14:paraId="042EEDCC" w14:textId="77777777" w:rsidR="00A14903" w:rsidRDefault="00A14903" w:rsidP="00A14903">
            <w:pPr>
              <w:jc w:val="both"/>
              <w:rPr>
                <w:rFonts w:asciiTheme="minorHAnsi" w:hAnsiTheme="minorHAnsi"/>
                <w:color w:val="auto"/>
                <w:sz w:val="20"/>
                <w:szCs w:val="20"/>
                <w:shd w:val="clear" w:color="auto" w:fill="FFFFFF"/>
              </w:rPr>
            </w:pPr>
          </w:p>
          <w:p w14:paraId="1765584B" w14:textId="77777777" w:rsidR="00A14903" w:rsidRDefault="00A14903" w:rsidP="00A14903">
            <w:pPr>
              <w:jc w:val="both"/>
              <w:rPr>
                <w:rFonts w:asciiTheme="minorHAnsi" w:hAnsiTheme="minorHAnsi"/>
                <w:color w:val="auto"/>
                <w:sz w:val="20"/>
                <w:szCs w:val="20"/>
                <w:shd w:val="clear" w:color="auto" w:fill="FFFFFF"/>
              </w:rPr>
            </w:pPr>
          </w:p>
          <w:p w14:paraId="25F8FD08" w14:textId="77777777" w:rsidR="00A14903" w:rsidRDefault="00A14903" w:rsidP="00A14903">
            <w:pPr>
              <w:jc w:val="both"/>
              <w:rPr>
                <w:rFonts w:asciiTheme="minorHAnsi" w:hAnsiTheme="minorHAnsi"/>
                <w:color w:val="auto"/>
                <w:sz w:val="20"/>
                <w:szCs w:val="20"/>
                <w:shd w:val="clear" w:color="auto" w:fill="FFFFFF"/>
              </w:rPr>
            </w:pPr>
          </w:p>
          <w:p w14:paraId="5C0FCFD5" w14:textId="77777777" w:rsidR="00A14903" w:rsidRDefault="00A14903" w:rsidP="00A14903">
            <w:pPr>
              <w:jc w:val="both"/>
              <w:rPr>
                <w:rFonts w:asciiTheme="minorHAnsi" w:hAnsiTheme="minorHAnsi"/>
                <w:color w:val="auto"/>
                <w:sz w:val="20"/>
                <w:szCs w:val="20"/>
                <w:shd w:val="clear" w:color="auto" w:fill="FFFFFF"/>
              </w:rPr>
            </w:pPr>
          </w:p>
          <w:p w14:paraId="65A4F37F" w14:textId="77777777" w:rsidR="005F7F00" w:rsidRDefault="005F7F00" w:rsidP="005F7F00">
            <w:pPr>
              <w:jc w:val="both"/>
              <w:rPr>
                <w:rFonts w:asciiTheme="minorHAnsi" w:hAnsiTheme="minorHAnsi"/>
                <w:color w:val="auto"/>
                <w:sz w:val="20"/>
                <w:szCs w:val="20"/>
                <w:shd w:val="clear" w:color="auto" w:fill="FFFFFF"/>
              </w:rPr>
            </w:pPr>
          </w:p>
          <w:p w14:paraId="041E362B" w14:textId="77777777" w:rsidR="005F7F00" w:rsidRDefault="005F7F00" w:rsidP="005F7F00">
            <w:pPr>
              <w:jc w:val="both"/>
              <w:rPr>
                <w:rFonts w:asciiTheme="minorHAnsi" w:hAnsiTheme="minorHAnsi"/>
                <w:color w:val="auto"/>
                <w:sz w:val="20"/>
                <w:szCs w:val="20"/>
                <w:shd w:val="clear" w:color="auto" w:fill="FFFFFF"/>
              </w:rPr>
            </w:pPr>
          </w:p>
          <w:p w14:paraId="1610B9BC" w14:textId="77777777" w:rsidR="005F7F00" w:rsidRPr="005F7F00" w:rsidRDefault="005F7F00" w:rsidP="005F7F00">
            <w:pPr>
              <w:jc w:val="both"/>
              <w:rPr>
                <w:rFonts w:asciiTheme="minorHAnsi" w:hAnsiTheme="minorHAnsi"/>
                <w:color w:val="auto"/>
                <w:sz w:val="20"/>
                <w:szCs w:val="20"/>
                <w:shd w:val="clear" w:color="auto" w:fill="FFFFFF"/>
              </w:rPr>
            </w:pPr>
          </w:p>
        </w:tc>
        <w:tc>
          <w:tcPr>
            <w:tcW w:w="4681" w:type="dxa"/>
            <w:tcBorders>
              <w:top w:val="single" w:sz="2" w:space="0" w:color="000001"/>
              <w:left w:val="single" w:sz="2" w:space="0" w:color="000001"/>
              <w:bottom w:val="single" w:sz="2" w:space="0" w:color="000001"/>
              <w:right w:val="single" w:sz="2" w:space="0" w:color="000001"/>
            </w:tcBorders>
            <w:shd w:val="clear" w:color="auto" w:fill="FFFFFF"/>
          </w:tcPr>
          <w:p w14:paraId="1AB217EC" w14:textId="77777777" w:rsidR="00DC6CE6" w:rsidRPr="005F7F00" w:rsidRDefault="00DC6CE6" w:rsidP="009A105B">
            <w:pPr>
              <w:jc w:val="both"/>
              <w:rPr>
                <w:rFonts w:asciiTheme="minorHAnsi" w:hAnsiTheme="minorHAnsi"/>
                <w:color w:val="auto"/>
                <w:sz w:val="20"/>
                <w:szCs w:val="20"/>
                <w:shd w:val="clear" w:color="auto" w:fill="FFFFFF"/>
              </w:rPr>
            </w:pPr>
            <w:r w:rsidRPr="005F7F00">
              <w:rPr>
                <w:rFonts w:asciiTheme="minorHAnsi" w:hAnsiTheme="minorHAnsi"/>
                <w:color w:val="auto"/>
                <w:sz w:val="20"/>
                <w:szCs w:val="20"/>
                <w:shd w:val="clear" w:color="auto" w:fill="FFFFFF"/>
              </w:rPr>
              <w:lastRenderedPageBreak/>
              <w:t>Si propone la modifica in aumento degli importi delle indennità relative alle zone soggette a vincoli naturali calcolati e approvati nel 2015.</w:t>
            </w:r>
          </w:p>
          <w:p w14:paraId="3D4C7C2C" w14:textId="77777777" w:rsidR="00DC6CE6" w:rsidRPr="005F7F00" w:rsidRDefault="00DC6CE6" w:rsidP="009A105B">
            <w:pPr>
              <w:jc w:val="both"/>
              <w:rPr>
                <w:rFonts w:asciiTheme="minorHAnsi" w:hAnsiTheme="minorHAnsi"/>
                <w:color w:val="auto"/>
                <w:sz w:val="20"/>
                <w:szCs w:val="20"/>
                <w:shd w:val="clear" w:color="auto" w:fill="FFFFFF"/>
              </w:rPr>
            </w:pPr>
            <w:r w:rsidRPr="005F7F00">
              <w:rPr>
                <w:rFonts w:asciiTheme="minorHAnsi" w:hAnsiTheme="minorHAnsi"/>
                <w:color w:val="auto"/>
                <w:sz w:val="20"/>
                <w:szCs w:val="20"/>
                <w:shd w:val="clear" w:color="auto" w:fill="FFFFFF"/>
              </w:rPr>
              <w:t>La modifica nasce dall’esigenza di garantire e rafforzare la presenza e l’attività delle imprese agricole nelle aree di montagna, soprattutto nelle aree più marginali e disagevoli, altrimenti destinate all’abbandono e al degrado.</w:t>
            </w:r>
          </w:p>
          <w:p w14:paraId="3A4469BE" w14:textId="77777777" w:rsidR="00DC6CE6" w:rsidRPr="005F7F00" w:rsidRDefault="00DC6CE6" w:rsidP="009A105B">
            <w:pPr>
              <w:jc w:val="both"/>
              <w:rPr>
                <w:rFonts w:asciiTheme="minorHAnsi" w:hAnsiTheme="minorHAnsi"/>
                <w:color w:val="auto"/>
                <w:sz w:val="20"/>
                <w:szCs w:val="20"/>
                <w:shd w:val="clear" w:color="auto" w:fill="FFFFFF"/>
              </w:rPr>
            </w:pPr>
            <w:r w:rsidRPr="005F7F00">
              <w:rPr>
                <w:rFonts w:asciiTheme="minorHAnsi" w:hAnsiTheme="minorHAnsi"/>
                <w:color w:val="auto"/>
                <w:sz w:val="20"/>
                <w:szCs w:val="20"/>
                <w:shd w:val="clear" w:color="auto" w:fill="FFFFFF"/>
              </w:rPr>
              <w:t>Tale scelta è giustificata da due aspetti rilevati negli ultimi anni in Regione Lombardia, entrambi con un forte impatto ambientale e territoriale, sulla biodiversità e sull’assetto idrogeologico:</w:t>
            </w:r>
          </w:p>
          <w:p w14:paraId="6D997BFB" w14:textId="77777777" w:rsidR="00DC6CE6" w:rsidRPr="005F7F00" w:rsidRDefault="00DC6CE6" w:rsidP="009A105B">
            <w:pPr>
              <w:jc w:val="both"/>
              <w:rPr>
                <w:rFonts w:asciiTheme="minorHAnsi" w:hAnsiTheme="minorHAnsi"/>
                <w:color w:val="auto"/>
                <w:sz w:val="20"/>
                <w:szCs w:val="20"/>
                <w:shd w:val="clear" w:color="auto" w:fill="FFFFFF"/>
              </w:rPr>
            </w:pPr>
            <w:r w:rsidRPr="005F7F00">
              <w:rPr>
                <w:rFonts w:asciiTheme="minorHAnsi" w:hAnsiTheme="minorHAnsi"/>
                <w:color w:val="auto"/>
                <w:sz w:val="20"/>
                <w:szCs w:val="20"/>
                <w:shd w:val="clear" w:color="auto" w:fill="FFFFFF"/>
              </w:rPr>
              <w:t>La progressiva riduzione delle superfici agricole coltivate (tra il 2007 ed il 2015 si sono ridotte di circa 6.000 ha);</w:t>
            </w:r>
          </w:p>
          <w:p w14:paraId="343643D8" w14:textId="77777777" w:rsidR="00DC6CE6" w:rsidRPr="005F7F00" w:rsidRDefault="00DC6CE6" w:rsidP="009A105B">
            <w:pPr>
              <w:jc w:val="both"/>
              <w:rPr>
                <w:rFonts w:asciiTheme="minorHAnsi" w:hAnsiTheme="minorHAnsi"/>
                <w:color w:val="auto"/>
                <w:sz w:val="20"/>
                <w:szCs w:val="20"/>
                <w:shd w:val="clear" w:color="auto" w:fill="FFFFFF"/>
              </w:rPr>
            </w:pPr>
            <w:r w:rsidRPr="005F7F00">
              <w:rPr>
                <w:rFonts w:asciiTheme="minorHAnsi" w:hAnsiTheme="minorHAnsi"/>
                <w:color w:val="auto"/>
                <w:sz w:val="20"/>
                <w:szCs w:val="20"/>
                <w:shd w:val="clear" w:color="auto" w:fill="FFFFFF"/>
              </w:rPr>
              <w:t>L’aumento degli eventi calamitosi conseguenti ai cambiamenti climatici in atto.</w:t>
            </w:r>
          </w:p>
          <w:p w14:paraId="20D59275" w14:textId="77777777" w:rsidR="00DC6CE6" w:rsidRPr="005F7F00" w:rsidRDefault="00DC6CE6" w:rsidP="009A105B">
            <w:pPr>
              <w:jc w:val="both"/>
              <w:rPr>
                <w:rFonts w:asciiTheme="minorHAnsi" w:hAnsiTheme="minorHAnsi"/>
                <w:color w:val="auto"/>
                <w:sz w:val="20"/>
                <w:szCs w:val="20"/>
                <w:shd w:val="clear" w:color="auto" w:fill="FFFFFF"/>
              </w:rPr>
            </w:pPr>
            <w:r w:rsidRPr="005F7F00">
              <w:rPr>
                <w:rFonts w:asciiTheme="minorHAnsi" w:hAnsiTheme="minorHAnsi"/>
                <w:color w:val="auto"/>
                <w:sz w:val="20"/>
                <w:szCs w:val="20"/>
                <w:shd w:val="clear" w:color="auto" w:fill="FFFFFF"/>
              </w:rPr>
              <w:t xml:space="preserve">Le imprese agricole delle aree svantaggiate di montagna, a fronte di costi sempre più alti non compensati da ricavi equivalenti, sono sempre più orientate ad abbandonare la coltivazione dei terreni più marginali ed impervi, difficili da gestire e poco produttivi, concentrando l’attività sui </w:t>
            </w:r>
            <w:r w:rsidRPr="005F7F00">
              <w:rPr>
                <w:rFonts w:asciiTheme="minorHAnsi" w:hAnsiTheme="minorHAnsi"/>
                <w:color w:val="auto"/>
                <w:sz w:val="20"/>
                <w:szCs w:val="20"/>
                <w:shd w:val="clear" w:color="auto" w:fill="FFFFFF"/>
              </w:rPr>
              <w:lastRenderedPageBreak/>
              <w:t>terreni più fertili di fondovalle, più vicini ai centri aziendali, più produttivi e facili da coltivare e governare.</w:t>
            </w:r>
          </w:p>
          <w:p w14:paraId="3C6055F1" w14:textId="77777777" w:rsidR="00DC6CE6" w:rsidRPr="005F7F00" w:rsidRDefault="00DC6CE6" w:rsidP="009A105B">
            <w:pPr>
              <w:jc w:val="both"/>
              <w:rPr>
                <w:rFonts w:asciiTheme="minorHAnsi" w:hAnsiTheme="minorHAnsi"/>
                <w:color w:val="auto"/>
                <w:sz w:val="20"/>
                <w:szCs w:val="20"/>
                <w:shd w:val="clear" w:color="auto" w:fill="FFFFFF"/>
              </w:rPr>
            </w:pPr>
            <w:r w:rsidRPr="005F7F00">
              <w:rPr>
                <w:rFonts w:asciiTheme="minorHAnsi" w:hAnsiTheme="minorHAnsi"/>
                <w:color w:val="auto"/>
                <w:sz w:val="20"/>
                <w:szCs w:val="20"/>
                <w:shd w:val="clear" w:color="auto" w:fill="FFFFFF"/>
              </w:rPr>
              <w:t>Questi terreni, se progressivamente abbandonati, sono destinati in breve tempo a diventare improduttivi e a trasformarsi in bosco, con gravi conseguenze sulla biodiversità, per la scomparsa di numerose specie vegetali ed animali a causa della riduzione e del degrado dei propri habitat naturali.</w:t>
            </w:r>
          </w:p>
          <w:p w14:paraId="56CDC44F" w14:textId="77777777" w:rsidR="00DC6CE6" w:rsidRPr="005F7F00" w:rsidRDefault="00DC6CE6" w:rsidP="009A105B">
            <w:pPr>
              <w:jc w:val="both"/>
              <w:rPr>
                <w:rFonts w:asciiTheme="minorHAnsi" w:hAnsiTheme="minorHAnsi"/>
                <w:color w:val="auto"/>
                <w:sz w:val="20"/>
                <w:szCs w:val="20"/>
                <w:shd w:val="clear" w:color="auto" w:fill="FFFFFF"/>
              </w:rPr>
            </w:pPr>
            <w:r w:rsidRPr="005F7F00">
              <w:rPr>
                <w:rFonts w:asciiTheme="minorHAnsi" w:hAnsiTheme="minorHAnsi"/>
                <w:color w:val="auto"/>
                <w:sz w:val="20"/>
                <w:szCs w:val="20"/>
                <w:shd w:val="clear" w:color="auto" w:fill="FFFFFF"/>
              </w:rPr>
              <w:t>I fenomeni atmosferici verificatosi nel corso degli ultimi anni, di maggiore intensità ed imprevedibilità rispetto a quelli dei periodi precedenti, hanno prodotto effetti negativi in diverse aree montane, causando situazioni di dissesto idrogeologico e di erosione dei suoli, a causa della loro natura e conformazione, con conseguenze non solo di carattere territoriale ma anche ambientale, in particolare sulla biodiversità.</w:t>
            </w:r>
          </w:p>
          <w:p w14:paraId="2EF0E8A9" w14:textId="77777777" w:rsidR="00DC6CE6" w:rsidRPr="005F7F00" w:rsidRDefault="00DC6CE6" w:rsidP="009A105B">
            <w:pPr>
              <w:jc w:val="both"/>
              <w:rPr>
                <w:rFonts w:asciiTheme="minorHAnsi" w:hAnsiTheme="minorHAnsi"/>
                <w:color w:val="auto"/>
                <w:sz w:val="20"/>
                <w:szCs w:val="20"/>
                <w:shd w:val="clear" w:color="auto" w:fill="FFFFFF"/>
              </w:rPr>
            </w:pPr>
            <w:r w:rsidRPr="005F7F00">
              <w:rPr>
                <w:rFonts w:asciiTheme="minorHAnsi" w:hAnsiTheme="minorHAnsi"/>
                <w:color w:val="auto"/>
                <w:sz w:val="20"/>
                <w:szCs w:val="20"/>
                <w:shd w:val="clear" w:color="auto" w:fill="FFFFFF"/>
              </w:rPr>
              <w:t>Per ridurre gli effetti prodotti da questa situazione</w:t>
            </w:r>
            <w:r>
              <w:rPr>
                <w:rFonts w:asciiTheme="minorHAnsi" w:hAnsiTheme="minorHAnsi"/>
                <w:color w:val="auto"/>
                <w:sz w:val="20"/>
                <w:szCs w:val="20"/>
                <w:shd w:val="clear" w:color="auto" w:fill="FFFFFF"/>
              </w:rPr>
              <w:t xml:space="preserve"> </w:t>
            </w:r>
            <w:r w:rsidRPr="005F7F00">
              <w:rPr>
                <w:rFonts w:asciiTheme="minorHAnsi" w:hAnsiTheme="minorHAnsi"/>
                <w:color w:val="auto"/>
                <w:sz w:val="20"/>
                <w:szCs w:val="20"/>
                <w:shd w:val="clear" w:color="auto" w:fill="FFFFFF"/>
              </w:rPr>
              <w:t>è necessario contrastare più efficacemente l’abbandono delle superfici agricole e forestali che, solo se utilizzate e governate, consentono un reale presidio del territorio, la salvaguardia della biodiversità, la prevenzione del rischio idrogeologico e dell’erosione dei suoli e contribuiscono all’adattamento ai cambiamenti climatici.</w:t>
            </w:r>
          </w:p>
          <w:p w14:paraId="6B1A6CB0" w14:textId="77777777" w:rsidR="00DC6CE6" w:rsidRPr="005F7F00" w:rsidRDefault="00DC6CE6" w:rsidP="009A105B">
            <w:pPr>
              <w:jc w:val="both"/>
              <w:rPr>
                <w:rFonts w:asciiTheme="minorHAnsi" w:hAnsiTheme="minorHAnsi"/>
                <w:color w:val="auto"/>
                <w:sz w:val="20"/>
                <w:szCs w:val="20"/>
                <w:shd w:val="clear" w:color="auto" w:fill="FFFFFF"/>
              </w:rPr>
            </w:pPr>
            <w:r w:rsidRPr="005F7F00">
              <w:rPr>
                <w:rFonts w:asciiTheme="minorHAnsi" w:hAnsiTheme="minorHAnsi"/>
                <w:color w:val="auto"/>
                <w:sz w:val="20"/>
                <w:szCs w:val="20"/>
                <w:shd w:val="clear" w:color="auto" w:fill="FFFFFF"/>
              </w:rPr>
              <w:t>A tali aspetti si aggiunge l’evidenza di una minore adesione dei potenziali beneficiari dell’operazione rispetto a quanto previsto, che si traduce in una estensione delle superfici indennizzate ancora inferiore rispetto al target atteso.</w:t>
            </w:r>
          </w:p>
          <w:p w14:paraId="6FC89F36" w14:textId="77777777" w:rsidR="00DC6CE6" w:rsidRDefault="00DC6CE6" w:rsidP="009A105B">
            <w:pPr>
              <w:jc w:val="both"/>
              <w:rPr>
                <w:rFonts w:asciiTheme="minorHAnsi" w:hAnsiTheme="minorHAnsi"/>
                <w:color w:val="auto"/>
                <w:sz w:val="20"/>
                <w:szCs w:val="20"/>
                <w:shd w:val="clear" w:color="auto" w:fill="FFFFFF"/>
              </w:rPr>
            </w:pPr>
            <w:r w:rsidRPr="005F7F00">
              <w:rPr>
                <w:rFonts w:asciiTheme="minorHAnsi" w:hAnsiTheme="minorHAnsi"/>
                <w:color w:val="auto"/>
                <w:sz w:val="20"/>
                <w:szCs w:val="20"/>
                <w:shd w:val="clear" w:color="auto" w:fill="FFFFFF"/>
              </w:rPr>
              <w:t xml:space="preserve">Da qui la scelta di incrementare le indennità relative ai sistemi agricoli a suo tempo individuati, per sostenere più adeguatamente il mantenimento e la coltivazione da parte delle imprese agricole delle superfici agricole, comprese quelle più marginali, a rischio di abbandono. Le nuove indennità proposte compensano maggiormente gli alti costi di produzione sostenuti dalle imprese agricole e i minori ricavi conseguenti agli svantaggi naturali, strutturali e infrastrutturali delle aree montane e quindi </w:t>
            </w:r>
            <w:r w:rsidRPr="005F7F00">
              <w:rPr>
                <w:rFonts w:asciiTheme="minorHAnsi" w:hAnsiTheme="minorHAnsi"/>
                <w:color w:val="auto"/>
                <w:sz w:val="20"/>
                <w:szCs w:val="20"/>
                <w:shd w:val="clear" w:color="auto" w:fill="FFFFFF"/>
              </w:rPr>
              <w:lastRenderedPageBreak/>
              <w:t>si ritiene possano incoraggiare le imprese agricole a mantenere e coltivare tutti i terreni a disposizione, compresi quelli più marginali e meno produttivi.</w:t>
            </w:r>
          </w:p>
          <w:p w14:paraId="7E90BD72" w14:textId="77777777" w:rsidR="009A105B" w:rsidRDefault="00DC6CE6" w:rsidP="009A105B">
            <w:pPr>
              <w:jc w:val="both"/>
              <w:rPr>
                <w:rFonts w:asciiTheme="minorHAnsi" w:hAnsiTheme="minorHAnsi"/>
                <w:color w:val="auto"/>
                <w:sz w:val="20"/>
                <w:szCs w:val="20"/>
                <w:shd w:val="clear" w:color="auto" w:fill="FFFFFF"/>
              </w:rPr>
            </w:pPr>
            <w:r>
              <w:rPr>
                <w:rFonts w:asciiTheme="minorHAnsi" w:hAnsiTheme="minorHAnsi"/>
                <w:color w:val="auto"/>
                <w:sz w:val="20"/>
                <w:szCs w:val="20"/>
                <w:shd w:val="clear" w:color="auto" w:fill="FFFFFF"/>
              </w:rPr>
              <w:t>Di fianco</w:t>
            </w:r>
            <w:r w:rsidRPr="005F7F00">
              <w:rPr>
                <w:rFonts w:asciiTheme="minorHAnsi" w:hAnsiTheme="minorHAnsi"/>
                <w:color w:val="auto"/>
                <w:sz w:val="20"/>
                <w:szCs w:val="20"/>
                <w:shd w:val="clear" w:color="auto" w:fill="FFFFFF"/>
              </w:rPr>
              <w:t xml:space="preserve"> si riportano le tabelle con i nuovi valori delle in</w:t>
            </w:r>
            <w:r>
              <w:rPr>
                <w:rFonts w:asciiTheme="minorHAnsi" w:hAnsiTheme="minorHAnsi"/>
                <w:color w:val="auto"/>
                <w:sz w:val="20"/>
                <w:szCs w:val="20"/>
                <w:shd w:val="clear" w:color="auto" w:fill="FFFFFF"/>
              </w:rPr>
              <w:t>d</w:t>
            </w:r>
            <w:r w:rsidR="009A105B">
              <w:rPr>
                <w:rFonts w:asciiTheme="minorHAnsi" w:hAnsiTheme="minorHAnsi"/>
                <w:color w:val="auto"/>
                <w:sz w:val="20"/>
                <w:szCs w:val="20"/>
                <w:shd w:val="clear" w:color="auto" w:fill="FFFFFF"/>
              </w:rPr>
              <w:t>ennità.</w:t>
            </w:r>
          </w:p>
          <w:p w14:paraId="11C0AEBC" w14:textId="77777777" w:rsidR="00DC6CE6" w:rsidRPr="005F7F00" w:rsidRDefault="009A105B" w:rsidP="009A105B">
            <w:pPr>
              <w:jc w:val="both"/>
              <w:rPr>
                <w:rFonts w:asciiTheme="minorHAnsi" w:hAnsiTheme="minorHAnsi"/>
                <w:color w:val="auto"/>
                <w:sz w:val="20"/>
                <w:szCs w:val="20"/>
                <w:shd w:val="clear" w:color="auto" w:fill="FFFFFF"/>
              </w:rPr>
            </w:pPr>
            <w:r>
              <w:rPr>
                <w:rFonts w:asciiTheme="minorHAnsi" w:hAnsiTheme="minorHAnsi"/>
                <w:color w:val="auto"/>
                <w:sz w:val="20"/>
                <w:szCs w:val="20"/>
                <w:shd w:val="clear" w:color="auto" w:fill="FFFFFF"/>
              </w:rPr>
              <w:t>T</w:t>
            </w:r>
            <w:r w:rsidR="00DC6CE6" w:rsidRPr="005F7F00">
              <w:rPr>
                <w:rFonts w:asciiTheme="minorHAnsi" w:hAnsiTheme="minorHAnsi"/>
                <w:color w:val="auto"/>
                <w:sz w:val="20"/>
                <w:szCs w:val="20"/>
                <w:shd w:val="clear" w:color="auto" w:fill="FFFFFF"/>
              </w:rPr>
              <w:t>ali valori sono inferiori ai differenziali di reddito tra sistemi agricoli delle zone svantaggiate e non svantaggiate come da allegato L al programma.</w:t>
            </w:r>
          </w:p>
          <w:p w14:paraId="27FC2090" w14:textId="77777777" w:rsidR="00DC6CE6" w:rsidRPr="005F7F00" w:rsidRDefault="00DC6CE6" w:rsidP="009A105B">
            <w:pPr>
              <w:jc w:val="both"/>
              <w:rPr>
                <w:rFonts w:asciiTheme="minorHAnsi" w:hAnsiTheme="minorHAnsi"/>
                <w:color w:val="auto"/>
                <w:sz w:val="20"/>
                <w:szCs w:val="20"/>
                <w:shd w:val="clear" w:color="auto" w:fill="FFFFFF"/>
              </w:rPr>
            </w:pPr>
            <w:r w:rsidRPr="005F7F00">
              <w:rPr>
                <w:rFonts w:asciiTheme="minorHAnsi" w:hAnsiTheme="minorHAnsi"/>
                <w:color w:val="auto"/>
                <w:sz w:val="20"/>
                <w:szCs w:val="20"/>
                <w:shd w:val="clear" w:color="auto" w:fill="FFFFFF"/>
              </w:rPr>
              <w:t xml:space="preserve">Le indennità proposte, quindi, non determinano </w:t>
            </w:r>
            <w:proofErr w:type="spellStart"/>
            <w:r w:rsidRPr="005F7F00">
              <w:rPr>
                <w:rFonts w:asciiTheme="minorHAnsi" w:hAnsiTheme="minorHAnsi"/>
                <w:color w:val="auto"/>
                <w:sz w:val="20"/>
                <w:szCs w:val="20"/>
                <w:shd w:val="clear" w:color="auto" w:fill="FFFFFF"/>
              </w:rPr>
              <w:t>sovracompensazioni</w:t>
            </w:r>
            <w:proofErr w:type="spellEnd"/>
            <w:r w:rsidRPr="005F7F00">
              <w:rPr>
                <w:rFonts w:asciiTheme="minorHAnsi" w:hAnsiTheme="minorHAnsi"/>
                <w:color w:val="auto"/>
                <w:sz w:val="20"/>
                <w:szCs w:val="20"/>
                <w:shd w:val="clear" w:color="auto" w:fill="FFFFFF"/>
              </w:rPr>
              <w:t xml:space="preserve"> e rientrano nei limiti previsti dall’allegato II del Reg. UE n. 1305/2013.</w:t>
            </w:r>
          </w:p>
          <w:p w14:paraId="0E7A0BFB" w14:textId="77777777" w:rsidR="00DC6CE6" w:rsidRPr="005F7F00" w:rsidRDefault="00DC6CE6" w:rsidP="009A105B">
            <w:pPr>
              <w:jc w:val="both"/>
              <w:rPr>
                <w:rFonts w:asciiTheme="minorHAnsi" w:hAnsiTheme="minorHAnsi"/>
                <w:color w:val="auto"/>
                <w:sz w:val="20"/>
                <w:szCs w:val="20"/>
                <w:shd w:val="clear" w:color="auto" w:fill="FFFFFF"/>
              </w:rPr>
            </w:pPr>
            <w:r w:rsidRPr="005F7F00">
              <w:rPr>
                <w:rFonts w:asciiTheme="minorHAnsi" w:hAnsiTheme="minorHAnsi"/>
                <w:color w:val="auto"/>
                <w:sz w:val="20"/>
                <w:szCs w:val="20"/>
                <w:shd w:val="clear" w:color="auto" w:fill="FFFFFF"/>
              </w:rPr>
              <w:t>Per quanto concerne, invece, la frutticoltura specializzata su terrazzamenti, i valori calcolati per le classi di superficie tra 0 e 5 ettari, pari a 653 €/ha e tra 5 e 10 ettari, pari a 581 €/ha, superano il limite massimo di 450 €/ha previsto dall’allegato II del Reg. UE n. 1305/2013. Tuttavia si propone di mantenere tali valori e di non ricondurli entro tale limite, in base alla deroga consentita dal sopra citato allegato II. I frutteti e i vigneti coltivati su terrazzamenti rappresentano una forma di coltivazione particolarmente gravosa, caratterizzata anche da lavori che possono essere svolti solo manualmente e in condizioni particolarmente difficili, quindi con costi di manodopera, produzione e trasporto decisamente superiori rispetto ai frutteti e ai vigneti coltivati in altre aree montane.  Si ritiene opportuno non riportare l’indennizzo calcolato nei limiti del valore massimo previsto dall’allegato II per i seguenti motivi:</w:t>
            </w:r>
          </w:p>
          <w:p w14:paraId="7B2A6396" w14:textId="77777777" w:rsidR="00DC6CE6" w:rsidRPr="009A105B" w:rsidRDefault="00DC6CE6" w:rsidP="009A105B">
            <w:pPr>
              <w:pStyle w:val="Paragrafoelenco"/>
              <w:numPr>
                <w:ilvl w:val="0"/>
                <w:numId w:val="23"/>
              </w:numPr>
              <w:jc w:val="both"/>
              <w:rPr>
                <w:sz w:val="20"/>
                <w:szCs w:val="20"/>
                <w:shd w:val="clear" w:color="auto" w:fill="FFFFFF"/>
              </w:rPr>
            </w:pPr>
            <w:r w:rsidRPr="009A105B">
              <w:rPr>
                <w:sz w:val="20"/>
                <w:szCs w:val="20"/>
                <w:shd w:val="clear" w:color="auto" w:fill="FFFFFF"/>
              </w:rPr>
              <w:t xml:space="preserve">Si sostiene il mantenimento di questa forma di coltivazione, meno produttiva e redditizia di quella di altre aree montane, altrimenti destinata a ridursi sempre di più, in assenza di ritorni economici adeguati per le imprese agricole, con il conseguente abbandono e degrado di parti del territorio modellate nei secoli scorsi e conservate nel tempo, ormai parti </w:t>
            </w:r>
            <w:r w:rsidRPr="009A105B">
              <w:rPr>
                <w:sz w:val="20"/>
                <w:szCs w:val="20"/>
                <w:shd w:val="clear" w:color="auto" w:fill="FFFFFF"/>
              </w:rPr>
              <w:lastRenderedPageBreak/>
              <w:t>integranti del paesaggio montano di alcune aree;</w:t>
            </w:r>
          </w:p>
          <w:p w14:paraId="243B75AB" w14:textId="77777777" w:rsidR="00DC6CE6" w:rsidRPr="009A105B" w:rsidRDefault="00DC6CE6" w:rsidP="009A105B">
            <w:pPr>
              <w:pStyle w:val="Paragrafoelenco"/>
              <w:numPr>
                <w:ilvl w:val="0"/>
                <w:numId w:val="23"/>
              </w:numPr>
              <w:jc w:val="both"/>
              <w:rPr>
                <w:sz w:val="20"/>
                <w:szCs w:val="20"/>
                <w:shd w:val="clear" w:color="auto" w:fill="FFFFFF"/>
              </w:rPr>
            </w:pPr>
            <w:r w:rsidRPr="009A105B">
              <w:rPr>
                <w:sz w:val="20"/>
                <w:szCs w:val="20"/>
                <w:shd w:val="clear" w:color="auto" w:fill="FFFFFF"/>
              </w:rPr>
              <w:t>Si contribuisce alla salvaguardia del territorio e del paesaggio, perché incentivando la coltivazione di questi terrazzamenti si favorisce il mantenimento di manufatti (muretti a secco, sentieri) e conformazioni del terreno (terrazzamenti, versanti), importanti per la difesa e l’assetto idrogeologico dei territori interessati, caratterizzati da versanti ripidi ed irregolari, difendendoli da eventi franosi, alluvionali ed altri fenomeni naturali.</w:t>
            </w:r>
          </w:p>
          <w:p w14:paraId="181DE47C" w14:textId="77777777" w:rsidR="008B3855" w:rsidRDefault="00DC6CE6" w:rsidP="009A105B">
            <w:pPr>
              <w:jc w:val="both"/>
              <w:rPr>
                <w:rFonts w:asciiTheme="minorHAnsi" w:hAnsiTheme="minorHAnsi"/>
                <w:color w:val="auto"/>
                <w:sz w:val="20"/>
                <w:szCs w:val="20"/>
                <w:shd w:val="clear" w:color="auto" w:fill="FFFFFF"/>
              </w:rPr>
            </w:pPr>
            <w:r w:rsidRPr="005F7F00">
              <w:rPr>
                <w:rFonts w:asciiTheme="minorHAnsi" w:hAnsiTheme="minorHAnsi"/>
                <w:color w:val="auto"/>
                <w:sz w:val="20"/>
                <w:szCs w:val="20"/>
                <w:shd w:val="clear" w:color="auto" w:fill="FFFFFF"/>
              </w:rPr>
              <w:t>L’incremento delle indennità non determina un aumento della dotazione finanziaria dell’Operazione, perché, come detto in precedenza, nei primi anni si è registrata un’adesione inferiore alle attese che ha comportato un minore assorbimento delle dotazioni annuali appostate sull’operazione.</w:t>
            </w:r>
          </w:p>
        </w:tc>
        <w:tc>
          <w:tcPr>
            <w:tcW w:w="1704" w:type="dxa"/>
            <w:tcBorders>
              <w:top w:val="single" w:sz="2" w:space="0" w:color="000001"/>
              <w:left w:val="single" w:sz="2" w:space="0" w:color="000001"/>
              <w:bottom w:val="single" w:sz="2" w:space="0" w:color="000001"/>
              <w:right w:val="single" w:sz="2" w:space="0" w:color="000001"/>
            </w:tcBorders>
            <w:shd w:val="clear" w:color="auto" w:fill="FFFFFF"/>
          </w:tcPr>
          <w:p w14:paraId="4DD327D6" w14:textId="77777777" w:rsidR="008B3855"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lastRenderedPageBreak/>
              <w:t>La modifica proposta si pone l’obiettivo di favorire il mantenimento dell’attività agricola nelle aree svantaggiate di montagna e contrastare il progressivo abbandono delle aree più marginali e disagiate, scarsamente remunerative per le imprese agricole.</w:t>
            </w:r>
          </w:p>
        </w:tc>
        <w:tc>
          <w:tcPr>
            <w:tcW w:w="1672" w:type="dxa"/>
            <w:tcBorders>
              <w:top w:val="single" w:sz="2" w:space="0" w:color="000001"/>
              <w:left w:val="single" w:sz="2" w:space="0" w:color="000001"/>
              <w:bottom w:val="single" w:sz="2" w:space="0" w:color="000001"/>
              <w:right w:val="single" w:sz="2" w:space="0" w:color="000001"/>
            </w:tcBorders>
            <w:shd w:val="clear" w:color="auto" w:fill="FFFFFF"/>
          </w:tcPr>
          <w:p w14:paraId="38AC1ED3" w14:textId="77777777" w:rsidR="008B3855" w:rsidRPr="005D2643"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 xml:space="preserve">Non si prevedono effetti sugli indicatori del Programma, in quanto l’aumento del premio è finalizzato proprio ad aumentare le superfici indennizzate, oggi ancora inferiori al target previsto (valore conseguito 92.000 ha; target 109.850 ha). Attualmente l’adesione inferiore alle attese ha portato all’assorbimento di meno risorse di </w:t>
            </w:r>
            <w:r w:rsidRPr="00120DB4">
              <w:rPr>
                <w:rFonts w:asciiTheme="minorHAnsi" w:hAnsiTheme="minorHAnsi"/>
                <w:color w:val="auto"/>
                <w:sz w:val="20"/>
                <w:szCs w:val="20"/>
                <w:shd w:val="clear" w:color="auto" w:fill="FFFFFF"/>
              </w:rPr>
              <w:lastRenderedPageBreak/>
              <w:t>quanto preventivato; pertanto sono disponibili le risorse per consentire il pagamento dell’indennità aumentata anche per una estensione di superficie prossima al target previsto.</w:t>
            </w:r>
          </w:p>
        </w:tc>
        <w:tc>
          <w:tcPr>
            <w:tcW w:w="1446" w:type="dxa"/>
            <w:tcBorders>
              <w:top w:val="single" w:sz="2" w:space="0" w:color="000001"/>
              <w:left w:val="single" w:sz="2" w:space="0" w:color="000001"/>
              <w:bottom w:val="single" w:sz="2" w:space="0" w:color="000001"/>
              <w:right w:val="single" w:sz="2" w:space="0" w:color="000001"/>
            </w:tcBorders>
            <w:shd w:val="clear" w:color="auto" w:fill="FFFFFF"/>
          </w:tcPr>
          <w:p w14:paraId="3E275593" w14:textId="77777777" w:rsidR="008B3855" w:rsidRPr="005D2643" w:rsidRDefault="00EE06A3" w:rsidP="009A105B">
            <w:pPr>
              <w:jc w:val="both"/>
              <w:rPr>
                <w:rFonts w:asciiTheme="minorHAnsi" w:hAnsiTheme="minorHAnsi"/>
                <w:color w:val="auto"/>
                <w:sz w:val="20"/>
                <w:szCs w:val="20"/>
              </w:rPr>
            </w:pPr>
            <w:r>
              <w:rPr>
                <w:rFonts w:asciiTheme="minorHAnsi" w:hAnsiTheme="minorHAnsi"/>
                <w:color w:val="auto"/>
                <w:sz w:val="20"/>
                <w:szCs w:val="20"/>
              </w:rPr>
              <w:lastRenderedPageBreak/>
              <w:t>Non si prevedono effetti sull’Accordo di P</w:t>
            </w:r>
            <w:r w:rsidR="007F3E52">
              <w:rPr>
                <w:rFonts w:asciiTheme="minorHAnsi" w:hAnsiTheme="minorHAnsi"/>
                <w:color w:val="auto"/>
                <w:sz w:val="20"/>
                <w:szCs w:val="20"/>
              </w:rPr>
              <w:t>artenariato.</w:t>
            </w:r>
          </w:p>
        </w:tc>
      </w:tr>
      <w:tr w:rsidR="00E34BE0" w:rsidRPr="008C24F8" w14:paraId="0E68833F" w14:textId="77777777" w:rsidTr="00120DB4">
        <w:tc>
          <w:tcPr>
            <w:tcW w:w="848" w:type="dxa"/>
            <w:tcBorders>
              <w:top w:val="single" w:sz="2" w:space="0" w:color="000001"/>
              <w:left w:val="single" w:sz="2" w:space="0" w:color="000001"/>
              <w:bottom w:val="single" w:sz="2" w:space="0" w:color="000001"/>
              <w:right w:val="nil"/>
            </w:tcBorders>
            <w:shd w:val="clear" w:color="auto" w:fill="FFFFFF"/>
          </w:tcPr>
          <w:p w14:paraId="66C78AD0" w14:textId="77777777" w:rsidR="00E34BE0" w:rsidRDefault="00E34BE0" w:rsidP="00120DB4">
            <w:pPr>
              <w:pStyle w:val="Contenutotabella"/>
              <w:rPr>
                <w:rFonts w:asciiTheme="minorHAnsi" w:hAnsiTheme="minorHAnsi"/>
                <w:b/>
                <w:bCs/>
                <w:color w:val="auto"/>
                <w:sz w:val="20"/>
                <w:szCs w:val="20"/>
              </w:rPr>
            </w:pPr>
            <w:r>
              <w:rPr>
                <w:rFonts w:asciiTheme="minorHAnsi" w:hAnsiTheme="minorHAnsi"/>
                <w:b/>
                <w:bCs/>
                <w:color w:val="auto"/>
                <w:sz w:val="20"/>
                <w:szCs w:val="20"/>
              </w:rPr>
              <w:lastRenderedPageBreak/>
              <w:t>11.b</w:t>
            </w:r>
          </w:p>
        </w:tc>
        <w:tc>
          <w:tcPr>
            <w:tcW w:w="5953"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10253BEF" w14:textId="77777777" w:rsidR="00E34BE0" w:rsidRDefault="00E34BE0" w:rsidP="00120DB4">
            <w:pPr>
              <w:rPr>
                <w:rFonts w:asciiTheme="minorHAnsi" w:hAnsiTheme="minorHAnsi"/>
                <w:b/>
                <w:color w:val="auto"/>
                <w:sz w:val="20"/>
                <w:szCs w:val="20"/>
                <w:shd w:val="clear" w:color="auto" w:fill="FFFFFF"/>
              </w:rPr>
            </w:pPr>
            <w:r>
              <w:rPr>
                <w:rFonts w:asciiTheme="minorHAnsi" w:hAnsiTheme="minorHAnsi"/>
                <w:b/>
                <w:color w:val="auto"/>
                <w:sz w:val="20"/>
                <w:szCs w:val="20"/>
                <w:shd w:val="clear" w:color="auto" w:fill="FFFFFF"/>
              </w:rPr>
              <w:t>Allegato L al Programma</w:t>
            </w:r>
          </w:p>
          <w:p w14:paraId="7F7908A7" w14:textId="77777777" w:rsidR="00120DB4" w:rsidRDefault="00120DB4" w:rsidP="00120DB4">
            <w:pPr>
              <w:rPr>
                <w:rFonts w:asciiTheme="minorHAnsi" w:hAnsiTheme="minorHAnsi"/>
                <w:b/>
                <w:color w:val="auto"/>
                <w:sz w:val="20"/>
                <w:szCs w:val="20"/>
                <w:shd w:val="clear" w:color="auto" w:fill="FFFFFF"/>
              </w:rPr>
            </w:pPr>
            <w:r w:rsidRPr="00120DB4">
              <w:rPr>
                <w:rFonts w:asciiTheme="minorHAnsi" w:hAnsiTheme="minorHAnsi"/>
                <w:b/>
                <w:color w:val="auto"/>
                <w:sz w:val="20"/>
                <w:szCs w:val="20"/>
                <w:shd w:val="clear" w:color="auto" w:fill="FFFFFF"/>
              </w:rPr>
              <w:t>Calcolo dei mancati redditi e dei maggiori costi per le misure relative agli articoli 22, 28, 29, 30 e 31 e dei costi standard per le misure relative agli articoli 17, 22 e 24 del Reg. (UE) n. 1305/2013</w:t>
            </w:r>
          </w:p>
          <w:p w14:paraId="614DDDC9" w14:textId="77777777" w:rsidR="00120DB4" w:rsidRDefault="00120DB4" w:rsidP="00120DB4">
            <w:pPr>
              <w:rPr>
                <w:rFonts w:asciiTheme="minorHAnsi" w:hAnsiTheme="minorHAnsi"/>
                <w:b/>
                <w:color w:val="auto"/>
                <w:sz w:val="20"/>
                <w:szCs w:val="20"/>
                <w:shd w:val="clear" w:color="auto" w:fill="FFFFFF"/>
              </w:rPr>
            </w:pPr>
          </w:p>
          <w:p w14:paraId="03425040" w14:textId="77777777" w:rsidR="00E34BE0" w:rsidRDefault="00E34BE0" w:rsidP="00120DB4">
            <w:pPr>
              <w:rPr>
                <w:rFonts w:asciiTheme="minorHAnsi" w:hAnsiTheme="minorHAnsi"/>
                <w:b/>
                <w:color w:val="auto"/>
                <w:sz w:val="20"/>
                <w:szCs w:val="20"/>
                <w:shd w:val="clear" w:color="auto" w:fill="FFFFFF"/>
              </w:rPr>
            </w:pPr>
            <w:r>
              <w:rPr>
                <w:rFonts w:asciiTheme="minorHAnsi" w:hAnsiTheme="minorHAnsi"/>
                <w:b/>
                <w:color w:val="auto"/>
                <w:sz w:val="20"/>
                <w:szCs w:val="20"/>
                <w:shd w:val="clear" w:color="auto" w:fill="FFFFFF"/>
              </w:rPr>
              <w:t xml:space="preserve">Misura 13 </w:t>
            </w:r>
            <w:r w:rsidRPr="00B175C7">
              <w:rPr>
                <w:rFonts w:asciiTheme="minorHAnsi" w:hAnsiTheme="minorHAnsi"/>
                <w:b/>
                <w:color w:val="auto"/>
                <w:sz w:val="20"/>
                <w:szCs w:val="20"/>
                <w:shd w:val="clear" w:color="auto" w:fill="FFFFFF"/>
              </w:rPr>
              <w:t>Indennità a favore delle zone soggette a vincoli naturali o ad altri vincoli specifici (art. 31)</w:t>
            </w:r>
          </w:p>
          <w:p w14:paraId="220D4DC4" w14:textId="77777777" w:rsidR="00120DB4" w:rsidRDefault="00E34BE0" w:rsidP="00120DB4">
            <w:pPr>
              <w:rPr>
                <w:rFonts w:asciiTheme="minorHAnsi" w:hAnsiTheme="minorHAnsi"/>
                <w:color w:val="auto"/>
                <w:sz w:val="20"/>
                <w:szCs w:val="20"/>
                <w:shd w:val="clear" w:color="auto" w:fill="FFFFFF"/>
              </w:rPr>
            </w:pPr>
            <w:r>
              <w:rPr>
                <w:rFonts w:asciiTheme="minorHAnsi" w:hAnsiTheme="minorHAnsi"/>
                <w:color w:val="auto"/>
                <w:sz w:val="20"/>
                <w:szCs w:val="20"/>
                <w:shd w:val="clear" w:color="auto" w:fill="FFFFFF"/>
              </w:rPr>
              <w:t>A seguito della proposta di incremento delle indennità relative alla Misura 13, si modifica anche l’Allegato L, aggiornando tutti i valori previsti nella versione vigente per i sistemi agricoli considerati</w:t>
            </w:r>
            <w:r w:rsidR="00120DB4">
              <w:rPr>
                <w:rFonts w:asciiTheme="minorHAnsi" w:hAnsiTheme="minorHAnsi"/>
                <w:color w:val="auto"/>
                <w:sz w:val="20"/>
                <w:szCs w:val="20"/>
                <w:shd w:val="clear" w:color="auto" w:fill="FFFFFF"/>
              </w:rPr>
              <w:t xml:space="preserve"> </w:t>
            </w:r>
          </w:p>
          <w:p w14:paraId="736D199D" w14:textId="77777777" w:rsidR="00E34BE0" w:rsidRDefault="00120DB4" w:rsidP="00120DB4">
            <w:pPr>
              <w:rPr>
                <w:rFonts w:asciiTheme="minorHAnsi" w:hAnsiTheme="minorHAnsi"/>
                <w:color w:val="auto"/>
                <w:sz w:val="20"/>
                <w:szCs w:val="20"/>
                <w:shd w:val="clear" w:color="auto" w:fill="FFFFFF"/>
              </w:rPr>
            </w:pPr>
            <w:r>
              <w:rPr>
                <w:rFonts w:asciiTheme="minorHAnsi" w:hAnsiTheme="minorHAnsi"/>
                <w:color w:val="auto"/>
                <w:sz w:val="20"/>
                <w:szCs w:val="20"/>
                <w:shd w:val="clear" w:color="auto" w:fill="FFFFFF"/>
              </w:rPr>
              <w:t>(</w:t>
            </w:r>
            <w:r w:rsidRPr="00120DB4">
              <w:rPr>
                <w:rFonts w:asciiTheme="minorHAnsi" w:hAnsiTheme="minorHAnsi"/>
                <w:i/>
                <w:color w:val="auto"/>
                <w:sz w:val="20"/>
                <w:szCs w:val="20"/>
                <w:shd w:val="clear" w:color="auto" w:fill="FFFFFF"/>
              </w:rPr>
              <w:t>come da tabelle sopra</w:t>
            </w:r>
            <w:r>
              <w:rPr>
                <w:rFonts w:asciiTheme="minorHAnsi" w:hAnsiTheme="minorHAnsi"/>
                <w:color w:val="auto"/>
                <w:sz w:val="20"/>
                <w:szCs w:val="20"/>
                <w:shd w:val="clear" w:color="auto" w:fill="FFFFFF"/>
              </w:rPr>
              <w:t>)</w:t>
            </w:r>
          </w:p>
          <w:p w14:paraId="3B7CA2D5" w14:textId="77777777" w:rsidR="00E34BE0" w:rsidRDefault="00E34BE0" w:rsidP="00120DB4">
            <w:pPr>
              <w:rPr>
                <w:rFonts w:asciiTheme="minorHAnsi" w:hAnsiTheme="minorHAnsi"/>
                <w:color w:val="auto"/>
                <w:sz w:val="20"/>
                <w:szCs w:val="20"/>
                <w:shd w:val="clear" w:color="auto" w:fill="FFFFFF"/>
              </w:rPr>
            </w:pPr>
          </w:p>
          <w:p w14:paraId="377F9687" w14:textId="77777777" w:rsidR="00E34BE0" w:rsidRDefault="00E34BE0" w:rsidP="00120DB4">
            <w:pPr>
              <w:rPr>
                <w:rFonts w:asciiTheme="minorHAnsi" w:hAnsiTheme="minorHAnsi"/>
                <w:b/>
                <w:color w:val="auto"/>
                <w:sz w:val="20"/>
                <w:szCs w:val="20"/>
                <w:shd w:val="clear" w:color="auto" w:fill="FFFFFF"/>
              </w:rPr>
            </w:pPr>
            <w:r w:rsidRPr="00A8739E">
              <w:rPr>
                <w:rFonts w:asciiTheme="minorHAnsi" w:hAnsiTheme="minorHAnsi"/>
                <w:b/>
                <w:color w:val="auto"/>
                <w:sz w:val="20"/>
                <w:szCs w:val="20"/>
                <w:shd w:val="clear" w:color="auto" w:fill="FFFFFF"/>
              </w:rPr>
              <w:t>Allegato T al Programma</w:t>
            </w:r>
          </w:p>
          <w:p w14:paraId="34BE8805" w14:textId="77777777" w:rsidR="00120DB4" w:rsidRPr="00A8739E" w:rsidRDefault="00120DB4" w:rsidP="00120DB4">
            <w:pPr>
              <w:rPr>
                <w:rFonts w:asciiTheme="minorHAnsi" w:hAnsiTheme="minorHAnsi"/>
                <w:b/>
                <w:color w:val="auto"/>
                <w:sz w:val="20"/>
                <w:szCs w:val="20"/>
                <w:shd w:val="clear" w:color="auto" w:fill="FFFFFF"/>
              </w:rPr>
            </w:pPr>
            <w:r w:rsidRPr="00120DB4">
              <w:rPr>
                <w:rFonts w:asciiTheme="minorHAnsi" w:hAnsiTheme="minorHAnsi"/>
                <w:b/>
                <w:color w:val="auto"/>
                <w:sz w:val="20"/>
                <w:szCs w:val="20"/>
                <w:shd w:val="clear" w:color="auto" w:fill="FFFFFF"/>
              </w:rPr>
              <w:t>Tabelle_sezione_8.2</w:t>
            </w:r>
            <w:r>
              <w:rPr>
                <w:rFonts w:asciiTheme="minorHAnsi" w:hAnsiTheme="minorHAnsi"/>
                <w:b/>
                <w:color w:val="auto"/>
                <w:sz w:val="20"/>
                <w:szCs w:val="20"/>
                <w:shd w:val="clear" w:color="auto" w:fill="FFFFFF"/>
              </w:rPr>
              <w:t xml:space="preserve"> del PSR</w:t>
            </w:r>
          </w:p>
          <w:p w14:paraId="0C74EC87" w14:textId="77777777" w:rsidR="00E34BE0" w:rsidRDefault="00E34BE0" w:rsidP="00120DB4">
            <w:pPr>
              <w:rPr>
                <w:rFonts w:asciiTheme="minorHAnsi" w:hAnsiTheme="minorHAnsi"/>
                <w:b/>
                <w:color w:val="auto"/>
                <w:sz w:val="20"/>
                <w:szCs w:val="20"/>
                <w:shd w:val="clear" w:color="auto" w:fill="FFFFFF"/>
              </w:rPr>
            </w:pPr>
            <w:r>
              <w:rPr>
                <w:rFonts w:asciiTheme="minorHAnsi" w:hAnsiTheme="minorHAnsi"/>
                <w:b/>
                <w:color w:val="auto"/>
                <w:sz w:val="20"/>
                <w:szCs w:val="20"/>
                <w:shd w:val="clear" w:color="auto" w:fill="FFFFFF"/>
              </w:rPr>
              <w:t xml:space="preserve">Misura 13 </w:t>
            </w:r>
            <w:r w:rsidRPr="00B175C7">
              <w:rPr>
                <w:rFonts w:asciiTheme="minorHAnsi" w:hAnsiTheme="minorHAnsi"/>
                <w:b/>
                <w:color w:val="auto"/>
                <w:sz w:val="20"/>
                <w:szCs w:val="20"/>
                <w:shd w:val="clear" w:color="auto" w:fill="FFFFFF"/>
              </w:rPr>
              <w:t xml:space="preserve">Indennità a favore delle zone soggette a vincoli naturali o ad </w:t>
            </w:r>
            <w:r w:rsidRPr="00B175C7">
              <w:rPr>
                <w:rFonts w:asciiTheme="minorHAnsi" w:hAnsiTheme="minorHAnsi"/>
                <w:b/>
                <w:color w:val="auto"/>
                <w:sz w:val="20"/>
                <w:szCs w:val="20"/>
                <w:shd w:val="clear" w:color="auto" w:fill="FFFFFF"/>
              </w:rPr>
              <w:lastRenderedPageBreak/>
              <w:t>altri vincoli specifici (art. 31)</w:t>
            </w:r>
          </w:p>
          <w:p w14:paraId="7CA2C02B" w14:textId="77777777" w:rsidR="00E34BE0" w:rsidRDefault="00E34BE0" w:rsidP="00120DB4">
            <w:pPr>
              <w:rPr>
                <w:rFonts w:asciiTheme="minorHAnsi" w:hAnsiTheme="minorHAnsi"/>
                <w:color w:val="auto"/>
                <w:sz w:val="20"/>
                <w:szCs w:val="20"/>
                <w:shd w:val="clear" w:color="auto" w:fill="FFFFFF"/>
              </w:rPr>
            </w:pPr>
            <w:r>
              <w:rPr>
                <w:rFonts w:asciiTheme="minorHAnsi" w:hAnsiTheme="minorHAnsi"/>
                <w:color w:val="auto"/>
                <w:sz w:val="20"/>
                <w:szCs w:val="20"/>
                <w:shd w:val="clear" w:color="auto" w:fill="FFFFFF"/>
              </w:rPr>
              <w:t>A seguito della proposta di incremento delle indennità relative alla Misura 13, si modifica anche l’Allegato T, aggiornando i valori previsti nella versione vigente per i sistemi agricoli considerati.</w:t>
            </w:r>
          </w:p>
          <w:p w14:paraId="0AB33C9E" w14:textId="77777777" w:rsidR="00E34BE0" w:rsidRPr="00674710" w:rsidRDefault="00120DB4" w:rsidP="00120DB4">
            <w:pPr>
              <w:rPr>
                <w:rFonts w:asciiTheme="minorHAnsi" w:hAnsiTheme="minorHAnsi"/>
                <w:color w:val="auto"/>
                <w:sz w:val="20"/>
                <w:szCs w:val="20"/>
                <w:shd w:val="clear" w:color="auto" w:fill="FFFFFF"/>
              </w:rPr>
            </w:pPr>
            <w:r>
              <w:rPr>
                <w:rFonts w:asciiTheme="minorHAnsi" w:hAnsiTheme="minorHAnsi"/>
                <w:color w:val="auto"/>
                <w:sz w:val="20"/>
                <w:szCs w:val="20"/>
                <w:shd w:val="clear" w:color="auto" w:fill="FFFFFF"/>
              </w:rPr>
              <w:t>(</w:t>
            </w:r>
            <w:r w:rsidRPr="00120DB4">
              <w:rPr>
                <w:rFonts w:asciiTheme="minorHAnsi" w:hAnsiTheme="minorHAnsi"/>
                <w:i/>
                <w:color w:val="auto"/>
                <w:sz w:val="20"/>
                <w:szCs w:val="20"/>
                <w:shd w:val="clear" w:color="auto" w:fill="FFFFFF"/>
              </w:rPr>
              <w:t>come da tabelle sopra</w:t>
            </w:r>
            <w:r>
              <w:rPr>
                <w:rFonts w:asciiTheme="minorHAnsi" w:hAnsiTheme="minorHAnsi"/>
                <w:color w:val="auto"/>
                <w:sz w:val="20"/>
                <w:szCs w:val="20"/>
                <w:shd w:val="clear" w:color="auto" w:fill="FFFFFF"/>
              </w:rPr>
              <w:t>)</w:t>
            </w:r>
          </w:p>
        </w:tc>
        <w:tc>
          <w:tcPr>
            <w:tcW w:w="4681" w:type="dxa"/>
            <w:tcBorders>
              <w:top w:val="single" w:sz="2" w:space="0" w:color="000001"/>
              <w:left w:val="single" w:sz="2" w:space="0" w:color="000001"/>
              <w:bottom w:val="single" w:sz="2" w:space="0" w:color="000001"/>
              <w:right w:val="single" w:sz="2" w:space="0" w:color="000001"/>
            </w:tcBorders>
            <w:shd w:val="clear" w:color="auto" w:fill="FFFFFF"/>
          </w:tcPr>
          <w:p w14:paraId="19292AC7" w14:textId="77777777" w:rsidR="00E34BE0"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lastRenderedPageBreak/>
              <w:t>La progressiva riduzione delle superfici coltivate e l’aumento degli eventi naturali calamitosi hanno effetti negativi sulla biodiversità, sull’assetto idrogeologico, territoriale e paesaggistico delle aree svantaggiate di montagna. La modifica proposta si pone l’obiettivo di contrastare più efficacemente questi fenomeni, offrendo un sostegno maggiore sotto forma di indennità compensativa alle imprese che si impegnano a mantenere l’attività agricola nelle aree più marginali e disagiate, altrimenti a rischio di abbandono ed incuria, con conseguenze negative di carattere territoriale e ambientale.</w:t>
            </w:r>
          </w:p>
        </w:tc>
        <w:tc>
          <w:tcPr>
            <w:tcW w:w="1704" w:type="dxa"/>
            <w:tcBorders>
              <w:top w:val="single" w:sz="2" w:space="0" w:color="000001"/>
              <w:left w:val="single" w:sz="2" w:space="0" w:color="000001"/>
              <w:bottom w:val="single" w:sz="2" w:space="0" w:color="000001"/>
              <w:right w:val="single" w:sz="2" w:space="0" w:color="000001"/>
            </w:tcBorders>
            <w:shd w:val="clear" w:color="auto" w:fill="FFFFFF"/>
          </w:tcPr>
          <w:p w14:paraId="5B5AE2AB" w14:textId="77777777" w:rsidR="00E34BE0"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 xml:space="preserve">La modifica proposta si pone l’obiettivo di favorire il mantenimento dell’attività agricola nelle aree svantaggiate di montagna e contrastare il progressivo abbandono delle aree più marginali e disagiate, scarsamente </w:t>
            </w:r>
            <w:r w:rsidRPr="00120DB4">
              <w:rPr>
                <w:rFonts w:asciiTheme="minorHAnsi" w:hAnsiTheme="minorHAnsi"/>
                <w:color w:val="auto"/>
                <w:sz w:val="20"/>
                <w:szCs w:val="20"/>
                <w:shd w:val="clear" w:color="auto" w:fill="FFFFFF"/>
              </w:rPr>
              <w:lastRenderedPageBreak/>
              <w:t>remunerative per le imprese agricole.</w:t>
            </w:r>
          </w:p>
        </w:tc>
        <w:tc>
          <w:tcPr>
            <w:tcW w:w="1672" w:type="dxa"/>
            <w:tcBorders>
              <w:top w:val="single" w:sz="2" w:space="0" w:color="000001"/>
              <w:left w:val="single" w:sz="2" w:space="0" w:color="000001"/>
              <w:bottom w:val="single" w:sz="2" w:space="0" w:color="000001"/>
              <w:right w:val="single" w:sz="2" w:space="0" w:color="000001"/>
            </w:tcBorders>
            <w:shd w:val="clear" w:color="auto" w:fill="FFFFFF"/>
          </w:tcPr>
          <w:p w14:paraId="48B693CF" w14:textId="77777777" w:rsidR="00E34BE0" w:rsidRPr="005D2643" w:rsidRDefault="00E34BE0" w:rsidP="009A105B">
            <w:pPr>
              <w:jc w:val="both"/>
              <w:rPr>
                <w:rFonts w:asciiTheme="minorHAnsi" w:hAnsiTheme="minorHAnsi"/>
                <w:color w:val="auto"/>
                <w:sz w:val="20"/>
                <w:szCs w:val="20"/>
                <w:shd w:val="clear" w:color="auto" w:fill="FFFFFF"/>
              </w:rPr>
            </w:pPr>
            <w:r>
              <w:rPr>
                <w:rFonts w:asciiTheme="minorHAnsi" w:hAnsiTheme="minorHAnsi"/>
                <w:color w:val="auto"/>
                <w:sz w:val="20"/>
                <w:szCs w:val="20"/>
                <w:shd w:val="clear" w:color="auto" w:fill="FFFFFF"/>
              </w:rPr>
              <w:lastRenderedPageBreak/>
              <w:t>Non si prevedono effetti sugli indicatori del Programma.</w:t>
            </w:r>
          </w:p>
        </w:tc>
        <w:tc>
          <w:tcPr>
            <w:tcW w:w="1446" w:type="dxa"/>
            <w:tcBorders>
              <w:top w:val="single" w:sz="2" w:space="0" w:color="000001"/>
              <w:left w:val="single" w:sz="2" w:space="0" w:color="000001"/>
              <w:bottom w:val="single" w:sz="2" w:space="0" w:color="000001"/>
              <w:right w:val="single" w:sz="2" w:space="0" w:color="000001"/>
            </w:tcBorders>
            <w:shd w:val="clear" w:color="auto" w:fill="FFFFFF"/>
          </w:tcPr>
          <w:p w14:paraId="1F51564D" w14:textId="77777777" w:rsidR="00E34BE0" w:rsidRPr="005D2643" w:rsidRDefault="00E34BE0" w:rsidP="009A105B">
            <w:pPr>
              <w:jc w:val="both"/>
              <w:rPr>
                <w:rFonts w:asciiTheme="minorHAnsi" w:hAnsiTheme="minorHAnsi"/>
                <w:color w:val="auto"/>
                <w:sz w:val="20"/>
                <w:szCs w:val="20"/>
              </w:rPr>
            </w:pPr>
            <w:r>
              <w:rPr>
                <w:rFonts w:asciiTheme="minorHAnsi" w:hAnsiTheme="minorHAnsi"/>
                <w:color w:val="auto"/>
                <w:sz w:val="20"/>
                <w:szCs w:val="20"/>
              </w:rPr>
              <w:t>Non si prevedono effetti sull’Accordo di Partenariato.</w:t>
            </w:r>
          </w:p>
        </w:tc>
      </w:tr>
      <w:tr w:rsidR="00C929C6" w:rsidRPr="008C24F8" w14:paraId="384A0B44" w14:textId="77777777" w:rsidTr="00120DB4">
        <w:tc>
          <w:tcPr>
            <w:tcW w:w="848" w:type="dxa"/>
            <w:tcBorders>
              <w:top w:val="single" w:sz="2" w:space="0" w:color="000001"/>
              <w:left w:val="single" w:sz="2" w:space="0" w:color="000001"/>
              <w:bottom w:val="single" w:sz="2" w:space="0" w:color="000001"/>
              <w:right w:val="nil"/>
            </w:tcBorders>
            <w:shd w:val="clear" w:color="auto" w:fill="FFFFFF"/>
          </w:tcPr>
          <w:p w14:paraId="5A7FAEFF" w14:textId="77777777" w:rsidR="00C929C6" w:rsidRDefault="00C929C6" w:rsidP="00E34BE0">
            <w:pPr>
              <w:pStyle w:val="Contenutotabella"/>
              <w:jc w:val="both"/>
              <w:rPr>
                <w:rFonts w:asciiTheme="minorHAnsi" w:hAnsiTheme="minorHAnsi"/>
                <w:b/>
                <w:bCs/>
                <w:color w:val="auto"/>
                <w:sz w:val="20"/>
                <w:szCs w:val="20"/>
              </w:rPr>
            </w:pPr>
            <w:r>
              <w:rPr>
                <w:rFonts w:asciiTheme="minorHAnsi" w:hAnsiTheme="minorHAnsi"/>
                <w:b/>
                <w:bCs/>
                <w:color w:val="auto"/>
                <w:sz w:val="20"/>
                <w:szCs w:val="20"/>
              </w:rPr>
              <w:t>11.b</w:t>
            </w:r>
          </w:p>
        </w:tc>
        <w:tc>
          <w:tcPr>
            <w:tcW w:w="5953"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6F6965CB" w14:textId="77777777" w:rsidR="00C929C6" w:rsidRDefault="00C929C6" w:rsidP="00C929C6">
            <w:pPr>
              <w:jc w:val="both"/>
              <w:rPr>
                <w:rFonts w:asciiTheme="minorHAnsi" w:hAnsiTheme="minorHAnsi"/>
                <w:b/>
                <w:color w:val="auto"/>
                <w:sz w:val="20"/>
                <w:szCs w:val="20"/>
                <w:shd w:val="clear" w:color="auto" w:fill="FFFFFF"/>
              </w:rPr>
            </w:pPr>
            <w:r>
              <w:rPr>
                <w:rFonts w:asciiTheme="minorHAnsi" w:hAnsiTheme="minorHAnsi"/>
                <w:b/>
                <w:color w:val="auto"/>
                <w:sz w:val="20"/>
                <w:szCs w:val="20"/>
                <w:shd w:val="clear" w:color="auto" w:fill="FFFFFF"/>
              </w:rPr>
              <w:t xml:space="preserve">Capitolo </w:t>
            </w:r>
            <w:r w:rsidRPr="00B175C7">
              <w:rPr>
                <w:rFonts w:asciiTheme="minorHAnsi" w:hAnsiTheme="minorHAnsi"/>
                <w:b/>
                <w:color w:val="auto"/>
                <w:sz w:val="20"/>
                <w:szCs w:val="20"/>
                <w:shd w:val="clear" w:color="auto" w:fill="FFFFFF"/>
              </w:rPr>
              <w:t xml:space="preserve">8. </w:t>
            </w:r>
            <w:r>
              <w:rPr>
                <w:rFonts w:asciiTheme="minorHAnsi" w:hAnsiTheme="minorHAnsi"/>
                <w:b/>
                <w:color w:val="auto"/>
                <w:sz w:val="20"/>
                <w:szCs w:val="20"/>
                <w:shd w:val="clear" w:color="auto" w:fill="FFFFFF"/>
              </w:rPr>
              <w:t>D</w:t>
            </w:r>
            <w:r w:rsidRPr="00B175C7">
              <w:rPr>
                <w:rFonts w:asciiTheme="minorHAnsi" w:hAnsiTheme="minorHAnsi"/>
                <w:b/>
                <w:color w:val="auto"/>
                <w:sz w:val="20"/>
                <w:szCs w:val="20"/>
                <w:shd w:val="clear" w:color="auto" w:fill="FFFFFF"/>
              </w:rPr>
              <w:t>escrizione delle misure selezionate</w:t>
            </w:r>
          </w:p>
          <w:p w14:paraId="397311EF" w14:textId="77777777" w:rsidR="00C929C6" w:rsidRDefault="00C929C6" w:rsidP="00C929C6">
            <w:pPr>
              <w:jc w:val="both"/>
              <w:rPr>
                <w:rFonts w:asciiTheme="minorHAnsi" w:hAnsiTheme="minorHAnsi"/>
                <w:b/>
                <w:color w:val="auto"/>
                <w:sz w:val="20"/>
                <w:szCs w:val="20"/>
                <w:shd w:val="clear" w:color="auto" w:fill="FFFFFF"/>
              </w:rPr>
            </w:pPr>
            <w:r>
              <w:rPr>
                <w:rFonts w:asciiTheme="minorHAnsi" w:hAnsiTheme="minorHAnsi"/>
                <w:b/>
                <w:color w:val="auto"/>
                <w:sz w:val="20"/>
                <w:szCs w:val="20"/>
                <w:shd w:val="clear" w:color="auto" w:fill="FFFFFF"/>
              </w:rPr>
              <w:t>Paragrafo 8.2 Descrizione per Misura</w:t>
            </w:r>
          </w:p>
          <w:p w14:paraId="0E83DAF7" w14:textId="77777777" w:rsidR="00C929C6" w:rsidRDefault="00C929C6" w:rsidP="00C929C6">
            <w:pPr>
              <w:jc w:val="both"/>
              <w:rPr>
                <w:rFonts w:asciiTheme="minorHAnsi" w:hAnsiTheme="minorHAnsi"/>
                <w:b/>
                <w:color w:val="auto"/>
                <w:sz w:val="20"/>
                <w:szCs w:val="20"/>
                <w:shd w:val="clear" w:color="auto" w:fill="FFFFFF"/>
              </w:rPr>
            </w:pPr>
            <w:r>
              <w:rPr>
                <w:rFonts w:asciiTheme="minorHAnsi" w:hAnsiTheme="minorHAnsi"/>
                <w:b/>
                <w:color w:val="auto"/>
                <w:sz w:val="20"/>
                <w:szCs w:val="20"/>
                <w:shd w:val="clear" w:color="auto" w:fill="FFFFFF"/>
              </w:rPr>
              <w:t xml:space="preserve">Paragrafo </w:t>
            </w:r>
            <w:r w:rsidRPr="00B175C7">
              <w:rPr>
                <w:rFonts w:asciiTheme="minorHAnsi" w:hAnsiTheme="minorHAnsi"/>
                <w:b/>
                <w:color w:val="auto"/>
                <w:sz w:val="20"/>
                <w:szCs w:val="20"/>
                <w:shd w:val="clear" w:color="auto" w:fill="FFFFFF"/>
              </w:rPr>
              <w:t>8.2.2 M</w:t>
            </w:r>
            <w:r>
              <w:rPr>
                <w:rFonts w:asciiTheme="minorHAnsi" w:hAnsiTheme="minorHAnsi"/>
                <w:b/>
                <w:color w:val="auto"/>
                <w:sz w:val="20"/>
                <w:szCs w:val="20"/>
                <w:shd w:val="clear" w:color="auto" w:fill="FFFFFF"/>
              </w:rPr>
              <w:t>02</w:t>
            </w:r>
            <w:r w:rsidRPr="00B175C7">
              <w:rPr>
                <w:rFonts w:asciiTheme="minorHAnsi" w:hAnsiTheme="minorHAnsi"/>
                <w:b/>
                <w:color w:val="auto"/>
                <w:sz w:val="20"/>
                <w:szCs w:val="20"/>
                <w:shd w:val="clear" w:color="auto" w:fill="FFFFFF"/>
              </w:rPr>
              <w:t xml:space="preserve"> - </w:t>
            </w:r>
            <w:r w:rsidRPr="00C929C6">
              <w:rPr>
                <w:rFonts w:asciiTheme="minorHAnsi" w:hAnsiTheme="minorHAnsi"/>
                <w:b/>
                <w:color w:val="auto"/>
                <w:sz w:val="20"/>
                <w:szCs w:val="20"/>
                <w:shd w:val="clear" w:color="auto" w:fill="FFFFFF"/>
              </w:rPr>
              <w:t>Servizi di consulenza, di sostituzione e di assistenza alla gestione delle aziende agricole (art.15)</w:t>
            </w:r>
          </w:p>
          <w:p w14:paraId="7373E0BD" w14:textId="77777777" w:rsidR="00C929C6" w:rsidRDefault="00C929C6" w:rsidP="00C929C6">
            <w:pPr>
              <w:jc w:val="both"/>
              <w:rPr>
                <w:rFonts w:asciiTheme="minorHAnsi" w:hAnsiTheme="minorHAnsi"/>
                <w:b/>
                <w:color w:val="auto"/>
                <w:sz w:val="20"/>
                <w:szCs w:val="20"/>
                <w:shd w:val="clear" w:color="auto" w:fill="FFFFFF"/>
              </w:rPr>
            </w:pPr>
            <w:r>
              <w:rPr>
                <w:rFonts w:asciiTheme="minorHAnsi" w:hAnsiTheme="minorHAnsi"/>
                <w:b/>
                <w:color w:val="auto"/>
                <w:sz w:val="20"/>
                <w:szCs w:val="20"/>
                <w:shd w:val="clear" w:color="auto" w:fill="FFFFFF"/>
              </w:rPr>
              <w:t xml:space="preserve">Paragrafo </w:t>
            </w:r>
            <w:r w:rsidRPr="00C929C6">
              <w:rPr>
                <w:rFonts w:asciiTheme="minorHAnsi" w:hAnsiTheme="minorHAnsi"/>
                <w:b/>
                <w:color w:val="auto"/>
                <w:sz w:val="20"/>
                <w:szCs w:val="20"/>
                <w:shd w:val="clear" w:color="auto" w:fill="FFFFFF"/>
              </w:rPr>
              <w:t>8.2.2.3.1.5. Costi ammissibili</w:t>
            </w:r>
          </w:p>
          <w:p w14:paraId="3F81968A" w14:textId="77777777" w:rsidR="00B222AA" w:rsidRDefault="00B222AA" w:rsidP="00E34BE0">
            <w:pPr>
              <w:jc w:val="both"/>
              <w:rPr>
                <w:rFonts w:asciiTheme="minorHAnsi" w:hAnsiTheme="minorHAnsi"/>
                <w:color w:val="auto"/>
                <w:sz w:val="20"/>
                <w:szCs w:val="20"/>
                <w:shd w:val="clear" w:color="auto" w:fill="FFFFFF"/>
              </w:rPr>
            </w:pPr>
          </w:p>
          <w:p w14:paraId="69790AEA" w14:textId="77777777" w:rsidR="00F20E7F" w:rsidRPr="00F20E7F" w:rsidRDefault="004C67ED" w:rsidP="00F20E7F">
            <w:pPr>
              <w:jc w:val="both"/>
              <w:rPr>
                <w:rFonts w:asciiTheme="minorHAnsi" w:hAnsiTheme="minorHAnsi"/>
                <w:color w:val="auto"/>
                <w:sz w:val="20"/>
                <w:szCs w:val="20"/>
                <w:shd w:val="clear" w:color="auto" w:fill="FFFFFF"/>
              </w:rPr>
            </w:pPr>
            <w:r>
              <w:rPr>
                <w:rFonts w:asciiTheme="minorHAnsi" w:hAnsiTheme="minorHAnsi"/>
                <w:color w:val="auto"/>
                <w:sz w:val="20"/>
                <w:szCs w:val="20"/>
                <w:shd w:val="clear" w:color="auto" w:fill="FFFFFF"/>
              </w:rPr>
              <w:t>[…]</w:t>
            </w:r>
          </w:p>
          <w:p w14:paraId="63A4AA97" w14:textId="77777777" w:rsidR="00F20E7F" w:rsidRPr="00F20E7F" w:rsidRDefault="00F20E7F" w:rsidP="00F20E7F">
            <w:pPr>
              <w:jc w:val="both"/>
              <w:rPr>
                <w:rFonts w:asciiTheme="minorHAnsi" w:hAnsiTheme="minorHAnsi"/>
                <w:color w:val="auto"/>
                <w:sz w:val="20"/>
                <w:szCs w:val="20"/>
                <w:shd w:val="clear" w:color="auto" w:fill="FFFFFF"/>
              </w:rPr>
            </w:pPr>
            <w:r w:rsidRPr="00F20E7F">
              <w:rPr>
                <w:rFonts w:asciiTheme="minorHAnsi" w:hAnsiTheme="minorHAnsi"/>
                <w:color w:val="auto"/>
                <w:sz w:val="20"/>
                <w:szCs w:val="20"/>
                <w:shd w:val="clear" w:color="auto" w:fill="FFFFFF"/>
              </w:rPr>
              <w:t>Si prevede l’opzione di adozione dei costi semplificati (costo standard) in base alla metodologia ed alla quantificazione messa a disposizione a livello nazionale da ISMEA.</w:t>
            </w:r>
          </w:p>
          <w:p w14:paraId="3F315F29" w14:textId="77777777" w:rsidR="00F20E7F" w:rsidRDefault="00F20E7F" w:rsidP="00F20E7F">
            <w:pPr>
              <w:jc w:val="both"/>
              <w:rPr>
                <w:rFonts w:asciiTheme="minorHAnsi" w:hAnsiTheme="minorHAnsi"/>
                <w:color w:val="auto"/>
                <w:sz w:val="20"/>
                <w:szCs w:val="20"/>
                <w:shd w:val="clear" w:color="auto" w:fill="FFFFFF"/>
              </w:rPr>
            </w:pPr>
            <w:r w:rsidRPr="00F20E7F">
              <w:rPr>
                <w:rFonts w:asciiTheme="minorHAnsi" w:hAnsiTheme="minorHAnsi"/>
                <w:color w:val="auto"/>
                <w:sz w:val="20"/>
                <w:szCs w:val="20"/>
                <w:shd w:val="clear" w:color="auto" w:fill="FFFFFF"/>
              </w:rPr>
              <w:t>Il costo standard è pari a 54 Euro/ora.</w:t>
            </w:r>
          </w:p>
          <w:p w14:paraId="641C8ED8" w14:textId="77777777" w:rsidR="004C67ED" w:rsidRDefault="004C67ED" w:rsidP="00F20E7F">
            <w:pPr>
              <w:jc w:val="both"/>
              <w:rPr>
                <w:rFonts w:asciiTheme="minorHAnsi" w:hAnsiTheme="minorHAnsi"/>
                <w:color w:val="auto"/>
                <w:sz w:val="20"/>
                <w:szCs w:val="20"/>
                <w:shd w:val="clear" w:color="auto" w:fill="FFFFFF"/>
              </w:rPr>
            </w:pPr>
          </w:p>
          <w:p w14:paraId="36A0E456" w14:textId="77777777" w:rsidR="004C67ED" w:rsidRDefault="004C67ED" w:rsidP="00F20E7F">
            <w:pPr>
              <w:jc w:val="both"/>
              <w:rPr>
                <w:rFonts w:asciiTheme="minorHAnsi" w:hAnsiTheme="minorHAnsi"/>
                <w:b/>
                <w:color w:val="auto"/>
                <w:sz w:val="20"/>
                <w:szCs w:val="20"/>
                <w:shd w:val="clear" w:color="auto" w:fill="FFFFFF"/>
              </w:rPr>
            </w:pPr>
            <w:r>
              <w:rPr>
                <w:rFonts w:asciiTheme="minorHAnsi" w:hAnsiTheme="minorHAnsi"/>
                <w:b/>
                <w:color w:val="auto"/>
                <w:sz w:val="20"/>
                <w:szCs w:val="20"/>
                <w:shd w:val="clear" w:color="auto" w:fill="FFFFFF"/>
              </w:rPr>
              <w:t xml:space="preserve">Paragrafo </w:t>
            </w:r>
            <w:r w:rsidRPr="004C67ED">
              <w:rPr>
                <w:rFonts w:asciiTheme="minorHAnsi" w:hAnsiTheme="minorHAnsi"/>
                <w:b/>
                <w:color w:val="auto"/>
                <w:sz w:val="20"/>
                <w:szCs w:val="20"/>
                <w:shd w:val="clear" w:color="auto" w:fill="FFFFFF"/>
              </w:rPr>
              <w:t>8.2.2.3.1.10. Metodo per il calcolo dell'importo o del tasso di sostegno, se del caso</w:t>
            </w:r>
          </w:p>
          <w:p w14:paraId="55649859"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I costi standard applicati alla misura sono stati determinati ai sensi dell’art. 67, paragrafo 1, lett. b) del Regolamento (UE) 1303/2013.</w:t>
            </w:r>
          </w:p>
          <w:p w14:paraId="0F3577C2"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La definizione dei costi standard descritti di seguito è frutto di un lavoro coordinato, a livello nazionale, dalla Rete Rurale e condiviso con le Regioni.</w:t>
            </w:r>
          </w:p>
          <w:p w14:paraId="114016C2"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Per il calcolo dei costi, sono stati utilizzati dati statistici ed altre informazioni oggettive, in base a quanto previsto dall’art. 67, paragrafo 5, lettera a), punto i), del Regolamento (UE) n. 1303/2013). In particolare, sono state effettuate elaborazioni su informazioni provenienti da banche dati nazionali (Agenzia delle Entrate, ACI) e sono state realizzate interviste con esperti di settore (responsabili regionali della misura 2 e rappresentanti di organismi di consulenza).</w:t>
            </w:r>
          </w:p>
          <w:p w14:paraId="62B5DCAD"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 xml:space="preserve">Il metodo per il calcolo dei costi standard ha previsto, preliminarmente, la definizione delle caratteristiche standard della consulenza e degli organismi erogatori di consulenza. In merito al primo aspetto, sono state individuate due tipologie di consulenza, diverse per impegno orario e complessità della prestazione: una consulenza di base, della durata di 14 ore, finalizzata ad individuare misure migliorative o correttive rispetto a </w:t>
            </w:r>
            <w:r w:rsidRPr="004C67ED">
              <w:rPr>
                <w:rFonts w:asciiTheme="minorHAnsi" w:hAnsiTheme="minorHAnsi"/>
                <w:color w:val="auto"/>
                <w:sz w:val="20"/>
                <w:szCs w:val="20"/>
                <w:shd w:val="clear" w:color="auto" w:fill="FFFFFF"/>
              </w:rPr>
              <w:lastRenderedPageBreak/>
              <w:t>problemi sui quali l’imprenditore è già competente; e una consulenza specialistica, di 26 ore, mirata all’adozione di soluzioni innovative.</w:t>
            </w:r>
          </w:p>
          <w:p w14:paraId="75DFCEA2"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Per quanto riguarda le caratteristiche standard degli organismi di consulenza, sono state raccolte ed analizzate le informazioni relative alla natura giuridica di questi enti, alle dimensioni medie degli staff di consulenti, ai profili professionali coinvolti ed alla numerosità e distribuzione di ciascuno di questi profili.</w:t>
            </w:r>
          </w:p>
          <w:p w14:paraId="26070B5F"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Successivamente, sono state individuate le componenti del costo della consulenza. Il costo standard omnicomprensivo per la consulenza si compone di tre parti: 1) il compenso del consulente; 2) le spese di viaggio per raggiungere l’azienda destinataria della consulenza; 3) i costi indiretti a carico dell’organismo di consulenza e relative alla gestione amministrativa, al coordinamento ed alla progettazione, al mantenimento della struttura operativa.</w:t>
            </w:r>
          </w:p>
          <w:p w14:paraId="774C125A"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Più in particolare, per la stima della remunerazione “standard” del consulente sono stati utilizzati i dati derivanti da sei studi di settore elaborati dall’Agenzia delle Entrate relativamente a diversi profili professionali interessati dalla misura 2 (agronomi, veterinari, commercialisti, ecc. …). Gli studi di settore fanno riferimento ad un periodo di imposta quadriennale (2010-2013). Le interviste con gli esperti di settore sono servite a confermare la validità di queste analisi.</w:t>
            </w:r>
          </w:p>
          <w:p w14:paraId="3C68F48A"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 xml:space="preserve">Da ciascuno studio di settore sono stati estrapolati i “cluster” (gruppi omogenei di contribuenti) rilevanti per le consulenze della misura 2 del PSR. L’indicatore preso a riferimento per la stima del compenso medio, in ciascun cluster, è la “Resa oraria per addetto”, che è calcolata sulla base della seguente formula: (Compensi dichiarati – Spese per prestazioni di collaborazione coordinata e continuativa – Compensi corrisposti a terzi per prestazioni direttamente afferenti l’attività professionale e artistica) / (Numero addetti X 50 X 48). Lo studio di settore riporta, per ciascun cluster, la distribuzione </w:t>
            </w:r>
            <w:proofErr w:type="spellStart"/>
            <w:r w:rsidRPr="004C67ED">
              <w:rPr>
                <w:rFonts w:asciiTheme="minorHAnsi" w:hAnsiTheme="minorHAnsi"/>
                <w:color w:val="auto"/>
                <w:sz w:val="20"/>
                <w:szCs w:val="20"/>
                <w:shd w:val="clear" w:color="auto" w:fill="FFFFFF"/>
              </w:rPr>
              <w:t>ventilica</w:t>
            </w:r>
            <w:proofErr w:type="spellEnd"/>
            <w:r w:rsidRPr="004C67ED">
              <w:rPr>
                <w:rFonts w:asciiTheme="minorHAnsi" w:hAnsiTheme="minorHAnsi"/>
                <w:color w:val="auto"/>
                <w:sz w:val="20"/>
                <w:szCs w:val="20"/>
                <w:shd w:val="clear" w:color="auto" w:fill="FFFFFF"/>
              </w:rPr>
              <w:t xml:space="preserve"> dell’indicatore.</w:t>
            </w:r>
          </w:p>
          <w:p w14:paraId="217A3710"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 xml:space="preserve">Per ottenere il valore finale, si è proceduto al calcolo della media ponderata dei valori di ciascuno dei sei studi di settore considerati. La pesatura è stata effettuata considerando la distribuzione per profilo professionale dei consulenti, sulla base dell’analisi preliminare delle caratteristiche standard degli organismi di consulenza. Tutti i valori, calcolati su una base oraria annua di 2.400 ore, sono stati ricondotti alla </w:t>
            </w:r>
            <w:r w:rsidRPr="004C67ED">
              <w:rPr>
                <w:rFonts w:asciiTheme="minorHAnsi" w:hAnsiTheme="minorHAnsi"/>
                <w:color w:val="auto"/>
                <w:sz w:val="20"/>
                <w:szCs w:val="20"/>
                <w:shd w:val="clear" w:color="auto" w:fill="FFFFFF"/>
              </w:rPr>
              <w:lastRenderedPageBreak/>
              <w:t>base oraria annua di 1.720 ore identificata dall’articolo 68.3 del Regolamento (UE) n. 1303/2013 quale parametro per la determinazione dei costi orari del personale.</w:t>
            </w:r>
          </w:p>
          <w:p w14:paraId="689F2DFD"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Il valore ottenuto attraverso l’elaborazione, la ponderazione e l’attualizzazione dei dati così raccolti è pari a 44 euro/ora.</w:t>
            </w:r>
          </w:p>
          <w:p w14:paraId="3DB42032"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Per quanto riguarda le spese di viaggio, sono state prese in considerazione le variabili collegate alla tariffa media per chilometro percorso e la distanza media tra l’organismo di consulenza e l’azienda agricola. Il primo elemento è stato definito con il supporto delle tabelle ACI normalmente utilizzate per il calcolo dei rimborsi chilometrici. Per il secondo elemento, si è nuovamente fatto ricorso all’esperienza dei soggetti intervistati, i quali hanno identificato, tra i range proposti, la distanza di 50 km (sola andata) come quella mediamente più frequente. Si è considerato un solo viaggio A/R per la consulenza di base e due viaggi A/R per la consulenza specialistica. Questa analisi ha permesso di ottenere un valore di € 0,40/km * (50 km * 2 tratte) /14 ore in caso di consulenza di base e € 0,40/km * (50 km * 4 tratte) /26 ore in caso di consulenza specialistica.</w:t>
            </w:r>
          </w:p>
          <w:p w14:paraId="4243FD79"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Infine, i costi indiretti sono stati definiti attraverso l’applicazione di un tasso forfettario ai costi diretti del personale, coerentemente con quanto previsto dall’art. 68, paragrafo 1, lettera b) del Regolamento (UE) n. 1303/2013). Il tasso forfettario è stato fissato al 15% dei costi diretti (compenso del consulente): questo tasso è stato considerato il più adeguato tra tutti i range predeterminati che sono stati proposti agli esperti intervistati.</w:t>
            </w:r>
          </w:p>
          <w:p w14:paraId="455FE698"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In definitiva, i valori standard risultano così determinati:</w:t>
            </w:r>
          </w:p>
          <w:p w14:paraId="0B1E34AE"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 Consulenza di base</w:t>
            </w:r>
          </w:p>
          <w:p w14:paraId="20D7BA6D"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Compenso/costo orario del consulente = 44 euro</w:t>
            </w:r>
          </w:p>
          <w:p w14:paraId="0F179874"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Quota oraria attribuibile ai costi indiretti = 6,60 euro</w:t>
            </w:r>
          </w:p>
          <w:p w14:paraId="17405E1A"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Quota oraria attribuibile alle spese di viaggio = 2,86 euro</w:t>
            </w:r>
          </w:p>
          <w:p w14:paraId="1B66DB9F"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Totale costo orario per la consulenza di base = 53,46 euro/ora</w:t>
            </w:r>
          </w:p>
          <w:p w14:paraId="540423E0"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 Consulenza specialistica</w:t>
            </w:r>
          </w:p>
          <w:p w14:paraId="3DE11C4C"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Compenso/costo orario del consulente = 44 euro</w:t>
            </w:r>
          </w:p>
          <w:p w14:paraId="000753E0"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Quota oraria attribuibile ai costi indiretti = 6,60 euro</w:t>
            </w:r>
          </w:p>
          <w:p w14:paraId="342957B2"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Quota oraria attribuibile alle spese di viaggio = 3,08 euro</w:t>
            </w:r>
          </w:p>
          <w:p w14:paraId="31161EA9"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Totale costo orario per la consulenza di base = 53,68 euro/ora.</w:t>
            </w:r>
          </w:p>
          <w:p w14:paraId="38A2F616" w14:textId="77777777" w:rsidR="004C67ED" w:rsidRPr="004C67ED" w:rsidRDefault="004C67ED" w:rsidP="004C67ED">
            <w:pPr>
              <w:jc w:val="both"/>
              <w:rPr>
                <w:rFonts w:asciiTheme="minorHAnsi" w:hAnsiTheme="minorHAnsi"/>
                <w:color w:val="auto"/>
                <w:sz w:val="20"/>
                <w:szCs w:val="20"/>
                <w:shd w:val="clear" w:color="auto" w:fill="FFFFFF"/>
              </w:rPr>
            </w:pPr>
            <w:r w:rsidRPr="004C67ED">
              <w:rPr>
                <w:rFonts w:asciiTheme="minorHAnsi" w:hAnsiTheme="minorHAnsi"/>
                <w:color w:val="auto"/>
                <w:sz w:val="20"/>
                <w:szCs w:val="20"/>
                <w:shd w:val="clear" w:color="auto" w:fill="FFFFFF"/>
              </w:rPr>
              <w:t xml:space="preserve">In considerazione della differenza esigua tra i due importi – oltre che della </w:t>
            </w:r>
            <w:r w:rsidRPr="004C67ED">
              <w:rPr>
                <w:rFonts w:asciiTheme="minorHAnsi" w:hAnsiTheme="minorHAnsi"/>
                <w:color w:val="auto"/>
                <w:sz w:val="20"/>
                <w:szCs w:val="20"/>
                <w:shd w:val="clear" w:color="auto" w:fill="FFFFFF"/>
              </w:rPr>
              <w:lastRenderedPageBreak/>
              <w:t>difficoltà, più volte sottolineata dagli intervistati, di distinguere nettamente le tue tipologie di consulenza – si è deciso di indicate un unico costo standard omnicomprensivo, arrotondato a 54 €/ora.</w:t>
            </w:r>
          </w:p>
        </w:tc>
        <w:tc>
          <w:tcPr>
            <w:tcW w:w="4681" w:type="dxa"/>
            <w:tcBorders>
              <w:top w:val="single" w:sz="2" w:space="0" w:color="000001"/>
              <w:left w:val="single" w:sz="2" w:space="0" w:color="000001"/>
              <w:bottom w:val="single" w:sz="2" w:space="0" w:color="000001"/>
              <w:right w:val="single" w:sz="2" w:space="0" w:color="000001"/>
            </w:tcBorders>
            <w:shd w:val="clear" w:color="auto" w:fill="FFFFFF"/>
          </w:tcPr>
          <w:p w14:paraId="5EC788C6" w14:textId="77777777" w:rsidR="009A105B" w:rsidRDefault="009A105B"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lastRenderedPageBreak/>
              <w:t>La modifica viene proposta in un’ottica di semplificazione delle procedure di rendicontazione e controllo della spesa, sia per i beneficiari, sia per l’Amministrazione, cogliendo l’opportunità offerta dalla definizione del costo standard a livello nazionale.</w:t>
            </w:r>
          </w:p>
          <w:p w14:paraId="27D70B84"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Il costo standard applicato alla misura è stato determinato ai sensi dell’art. 67, paragrafo 1, lett. b) del Regolamento (UE) 1303/2013. La definizione dei costi standard descritti di seguito è frutto di un lavoro coordinato, a livello nazionale, dalla Rete Rurale e condiviso con le Regioni.</w:t>
            </w:r>
          </w:p>
          <w:p w14:paraId="7FE19CE4"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Per il calcolo dei costi, sono stati utilizzati dati statistici ed altre informazioni oggettive, in base a quanto previsto dall’art. 67, paragrafo 5, lettera a), punto i), del Regolamento (UE) n. 1303/2013). In particolare, sono state effettuate elaborazioni su informazioni provenienti da banche dati nazionali (Agenzia delle Entrate, ACI) e sono state realizzate interviste con esperti di settore (responsabili regionali della misura 2 e rappresentanti di organismi di consulenza).</w:t>
            </w:r>
          </w:p>
          <w:p w14:paraId="0D4CE425"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Sono state individuate due tipologie di consulenza, diverse per impegno orario e complessità della prestazione: una consulenza di base, della durata di 14 ore, finalizzata ad individuare misure migliorative o correttive rispetto a problemi sui quali l’imprenditore è già competente; e una consulenza specialistica, di 26 ore, mirata all’adozione di soluzioni innovative.</w:t>
            </w:r>
          </w:p>
          <w:p w14:paraId="59D92918"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 xml:space="preserve">Successivamente, sono state individuate le componenti del costo della consulenza. Il costo standard omnicomprensivo per la consulenza si compone di tre parti: 1) il compenso del consulente; 2) le spese di viaggio per raggiungere l’azienda destinataria della consulenza; </w:t>
            </w:r>
            <w:r w:rsidRPr="00120DB4">
              <w:rPr>
                <w:rFonts w:asciiTheme="minorHAnsi" w:hAnsiTheme="minorHAnsi"/>
                <w:color w:val="auto"/>
                <w:sz w:val="20"/>
                <w:szCs w:val="20"/>
                <w:shd w:val="clear" w:color="auto" w:fill="FFFFFF"/>
              </w:rPr>
              <w:lastRenderedPageBreak/>
              <w:t>3) i costi indiretti a carico dell’organismo di consulenza e relative alla gestione amministrativa, al coordinamento ed alla progettazione, al mantenimento della struttura operativa.</w:t>
            </w:r>
          </w:p>
          <w:p w14:paraId="7B0A6CC2"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Più in particolare, per la stima della remunerazione “standard” del consulente sono stati utilizzati i dati derivanti da sei studi di settore elaborati dall’Agenzia delle Entrate relativamente a diversi profili professionali interessati dalla misura 2 (agronomi, veterinari, commercialisti, ecc. …). Gli studi di settore fanno riferimento ad un periodo di imposta quadriennale (2010-2013). Le interviste con gli esperti di settore sono servite a confermare la validità di queste analisi.</w:t>
            </w:r>
          </w:p>
          <w:p w14:paraId="59FB5605"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Il valore ottenuto attraverso l’elaborazione, la ponderazione e l’attualizzazione dei dati così raccolti è pari a 44 euro/ora.</w:t>
            </w:r>
          </w:p>
          <w:p w14:paraId="1A1FEE49"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Per quanto riguarda le spese di viaggio, sono state prese in considerazione le variabili collegate alla tariffa media per chilometro percorso e la distanza media tra l’organismo di consulenza e l’azienda agricola. Il primo elemento è stato definito con il supporto delle tabelle ACI normalmente utilizzate per il calcolo dei rimborsi chilometrici. Per il secondo elemento, si è nuovamente fatto ricorso all’esperienza dei soggetti intervistati, i quali hanno identificato, tra i range proposti, la distanza di 50 km (sola andata) come quella mediamente più frequente. Si è considerato un solo viaggio A/R per la consulenza di base e due viaggi A/R per la consulenza specialistica. Questa analisi ha permesso di ottenere un valore di € 0,40/km * (50 km * 2 tratte) /14 ore in caso di consulenza di base e € 0,40/km * (50 km * 4 tratte) /26 ore in caso di consulenza specialistica.</w:t>
            </w:r>
          </w:p>
          <w:p w14:paraId="560532A5"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 xml:space="preserve">Infine, i costi indiretti sono stati definiti attraverso l’applicazione di un tasso forfettario ai costi diretti del personale, coerentemente con quanto previsto dall’art. 68, paragrafo 1, lettera b) del Regolamento (UE) n. 1303/2013). Il tasso forfettario è stato fissato al 15% dei </w:t>
            </w:r>
            <w:r w:rsidRPr="00120DB4">
              <w:rPr>
                <w:rFonts w:asciiTheme="minorHAnsi" w:hAnsiTheme="minorHAnsi"/>
                <w:color w:val="auto"/>
                <w:sz w:val="20"/>
                <w:szCs w:val="20"/>
                <w:shd w:val="clear" w:color="auto" w:fill="FFFFFF"/>
              </w:rPr>
              <w:lastRenderedPageBreak/>
              <w:t>costi diretti (compenso del consulente): questo tasso è stato considerato il più adeguato tra tutti i range predeterminati che sono stati proposti agli esperti intervistati.</w:t>
            </w:r>
          </w:p>
          <w:p w14:paraId="2074D2C3"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In definitiva, i valori standard risultano così determinati:</w:t>
            </w:r>
          </w:p>
          <w:p w14:paraId="3CC64F1E"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 Consulenza di base</w:t>
            </w:r>
          </w:p>
          <w:p w14:paraId="1ED6084B"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Compenso/costo orario del consulente = 44 euro</w:t>
            </w:r>
          </w:p>
          <w:p w14:paraId="1408E949"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Quota oraria attribuibile ai costi indiretti = 6,60 euro</w:t>
            </w:r>
          </w:p>
          <w:p w14:paraId="34EA464D"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Quota oraria attribuibile alle spese di viaggio = 2,86 euro</w:t>
            </w:r>
          </w:p>
          <w:p w14:paraId="1A97B4F8"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Totale costo orario per la consulenza di base = 53,46 euro/ora</w:t>
            </w:r>
          </w:p>
          <w:p w14:paraId="49063C06"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 Consulenza specialistica</w:t>
            </w:r>
          </w:p>
          <w:p w14:paraId="0F399949"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Compenso/costo orario del consulente = 44 euro</w:t>
            </w:r>
          </w:p>
          <w:p w14:paraId="2FBA3699"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Quota oraria attribuibile ai costi indiretti = 6,60 euro</w:t>
            </w:r>
          </w:p>
          <w:p w14:paraId="15CD6473"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Quota oraria attribuibile alle spese di viaggio = 3,08 euro</w:t>
            </w:r>
          </w:p>
          <w:p w14:paraId="03935397"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Totale costo orario per la consulenza di base = 53,68 euro/ora.</w:t>
            </w:r>
          </w:p>
          <w:p w14:paraId="45FA8A18" w14:textId="77777777" w:rsidR="00120DB4" w:rsidRPr="00120DB4"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 xml:space="preserve"> </w:t>
            </w:r>
          </w:p>
          <w:p w14:paraId="37908413" w14:textId="77777777" w:rsidR="00C929C6" w:rsidRDefault="00120DB4" w:rsidP="009A105B">
            <w:pPr>
              <w:jc w:val="both"/>
              <w:rPr>
                <w:rFonts w:asciiTheme="minorHAnsi" w:hAnsiTheme="minorHAnsi"/>
                <w:color w:val="auto"/>
                <w:sz w:val="20"/>
                <w:szCs w:val="20"/>
                <w:shd w:val="clear" w:color="auto" w:fill="FFFFFF"/>
              </w:rPr>
            </w:pPr>
            <w:r w:rsidRPr="00120DB4">
              <w:rPr>
                <w:rFonts w:asciiTheme="minorHAnsi" w:hAnsiTheme="minorHAnsi"/>
                <w:color w:val="auto"/>
                <w:sz w:val="20"/>
                <w:szCs w:val="20"/>
                <w:shd w:val="clear" w:color="auto" w:fill="FFFFFF"/>
              </w:rPr>
              <w:t>In considerazione della differenza esigua tra i due importi – oltre che della difficoltà, più volte sottolineata dagli intervistati, di distinguere nettamente le tue tipologie di consulenza – si è deciso di indicate un unico costo standard omnicomprensivo, arrotondato a 54 €/ora.</w:t>
            </w:r>
          </w:p>
        </w:tc>
        <w:tc>
          <w:tcPr>
            <w:tcW w:w="1704" w:type="dxa"/>
            <w:tcBorders>
              <w:top w:val="single" w:sz="2" w:space="0" w:color="000001"/>
              <w:left w:val="single" w:sz="2" w:space="0" w:color="000001"/>
              <w:bottom w:val="single" w:sz="2" w:space="0" w:color="000001"/>
              <w:right w:val="single" w:sz="2" w:space="0" w:color="000001"/>
            </w:tcBorders>
            <w:shd w:val="clear" w:color="auto" w:fill="FFFFFF"/>
          </w:tcPr>
          <w:p w14:paraId="3E27A013" w14:textId="77777777" w:rsidR="00C929C6" w:rsidRDefault="00B222AA" w:rsidP="009A105B">
            <w:pPr>
              <w:jc w:val="both"/>
              <w:rPr>
                <w:rFonts w:asciiTheme="minorHAnsi" w:hAnsiTheme="minorHAnsi"/>
                <w:color w:val="auto"/>
                <w:sz w:val="20"/>
                <w:szCs w:val="20"/>
                <w:shd w:val="clear" w:color="auto" w:fill="FFFFFF"/>
              </w:rPr>
            </w:pPr>
            <w:r>
              <w:rPr>
                <w:rFonts w:asciiTheme="minorHAnsi" w:hAnsiTheme="minorHAnsi"/>
                <w:color w:val="auto"/>
                <w:sz w:val="20"/>
                <w:szCs w:val="20"/>
                <w:shd w:val="clear" w:color="auto" w:fill="FFFFFF"/>
              </w:rPr>
              <w:lastRenderedPageBreak/>
              <w:t>La modifica si pone l’obiettivo di semplificare le procedure di rendicontazione e controllo e diminuire i tassi di errore.</w:t>
            </w:r>
          </w:p>
        </w:tc>
        <w:tc>
          <w:tcPr>
            <w:tcW w:w="1672" w:type="dxa"/>
            <w:tcBorders>
              <w:top w:val="single" w:sz="2" w:space="0" w:color="000001"/>
              <w:left w:val="single" w:sz="2" w:space="0" w:color="000001"/>
              <w:bottom w:val="single" w:sz="2" w:space="0" w:color="000001"/>
              <w:right w:val="single" w:sz="2" w:space="0" w:color="000001"/>
            </w:tcBorders>
            <w:shd w:val="clear" w:color="auto" w:fill="FFFFFF"/>
          </w:tcPr>
          <w:p w14:paraId="1134C435" w14:textId="77777777" w:rsidR="00C929C6" w:rsidRDefault="00B222AA" w:rsidP="009A105B">
            <w:pPr>
              <w:jc w:val="both"/>
              <w:rPr>
                <w:rFonts w:asciiTheme="minorHAnsi" w:hAnsiTheme="minorHAnsi"/>
                <w:color w:val="auto"/>
                <w:sz w:val="20"/>
                <w:szCs w:val="20"/>
                <w:shd w:val="clear" w:color="auto" w:fill="FFFFFF"/>
              </w:rPr>
            </w:pPr>
            <w:r>
              <w:rPr>
                <w:rFonts w:asciiTheme="minorHAnsi" w:hAnsiTheme="minorHAnsi"/>
                <w:color w:val="auto"/>
                <w:sz w:val="20"/>
                <w:szCs w:val="20"/>
                <w:shd w:val="clear" w:color="auto" w:fill="FFFFFF"/>
              </w:rPr>
              <w:t>Nessun impatto della modifica sugli indicatori</w:t>
            </w:r>
          </w:p>
        </w:tc>
        <w:tc>
          <w:tcPr>
            <w:tcW w:w="1446" w:type="dxa"/>
            <w:tcBorders>
              <w:top w:val="single" w:sz="2" w:space="0" w:color="000001"/>
              <w:left w:val="single" w:sz="2" w:space="0" w:color="000001"/>
              <w:bottom w:val="single" w:sz="2" w:space="0" w:color="000001"/>
              <w:right w:val="single" w:sz="2" w:space="0" w:color="000001"/>
            </w:tcBorders>
            <w:shd w:val="clear" w:color="auto" w:fill="FFFFFF"/>
          </w:tcPr>
          <w:p w14:paraId="3057EDC9" w14:textId="77777777" w:rsidR="00C929C6" w:rsidRDefault="00B222AA" w:rsidP="009A105B">
            <w:pPr>
              <w:jc w:val="both"/>
              <w:rPr>
                <w:rFonts w:asciiTheme="minorHAnsi" w:hAnsiTheme="minorHAnsi"/>
                <w:color w:val="auto"/>
                <w:sz w:val="20"/>
                <w:szCs w:val="20"/>
              </w:rPr>
            </w:pPr>
            <w:r>
              <w:rPr>
                <w:rFonts w:asciiTheme="minorHAnsi" w:hAnsiTheme="minorHAnsi"/>
                <w:color w:val="auto"/>
                <w:sz w:val="20"/>
                <w:szCs w:val="20"/>
              </w:rPr>
              <w:t>Nessun effetto sull’accordo di partenariato</w:t>
            </w:r>
          </w:p>
        </w:tc>
      </w:tr>
      <w:tr w:rsidR="00DB7146" w:rsidRPr="008C24F8" w14:paraId="650FCD26" w14:textId="77777777" w:rsidTr="00120DB4">
        <w:tc>
          <w:tcPr>
            <w:tcW w:w="848" w:type="dxa"/>
            <w:tcBorders>
              <w:top w:val="single" w:sz="2" w:space="0" w:color="000001"/>
              <w:left w:val="single" w:sz="2" w:space="0" w:color="000001"/>
              <w:bottom w:val="single" w:sz="2" w:space="0" w:color="000001"/>
              <w:right w:val="nil"/>
            </w:tcBorders>
            <w:shd w:val="clear" w:color="auto" w:fill="FFFFFF"/>
          </w:tcPr>
          <w:p w14:paraId="0B9F01FA" w14:textId="77777777" w:rsidR="00DB7146" w:rsidRDefault="00DB7146" w:rsidP="00DB7146">
            <w:pPr>
              <w:pStyle w:val="Contenutotabella"/>
              <w:rPr>
                <w:rFonts w:asciiTheme="minorHAnsi" w:hAnsiTheme="minorHAnsi"/>
                <w:b/>
                <w:bCs/>
                <w:color w:val="auto"/>
                <w:sz w:val="20"/>
                <w:szCs w:val="20"/>
              </w:rPr>
            </w:pPr>
            <w:r>
              <w:rPr>
                <w:rFonts w:asciiTheme="minorHAnsi" w:hAnsiTheme="minorHAnsi"/>
                <w:b/>
                <w:bCs/>
                <w:color w:val="auto"/>
                <w:sz w:val="20"/>
                <w:szCs w:val="20"/>
              </w:rPr>
              <w:lastRenderedPageBreak/>
              <w:t>11.b</w:t>
            </w:r>
          </w:p>
        </w:tc>
        <w:tc>
          <w:tcPr>
            <w:tcW w:w="5953"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6E1B983A" w14:textId="77777777" w:rsidR="00DB7146" w:rsidRDefault="00DB7146" w:rsidP="00DB7146">
            <w:pPr>
              <w:rPr>
                <w:rFonts w:asciiTheme="minorHAnsi" w:hAnsiTheme="minorHAnsi"/>
                <w:b/>
                <w:color w:val="auto"/>
                <w:sz w:val="20"/>
                <w:szCs w:val="20"/>
                <w:shd w:val="clear" w:color="auto" w:fill="FFFFFF"/>
              </w:rPr>
            </w:pPr>
            <w:r>
              <w:rPr>
                <w:rFonts w:asciiTheme="minorHAnsi" w:hAnsiTheme="minorHAnsi"/>
                <w:b/>
                <w:color w:val="auto"/>
                <w:sz w:val="20"/>
                <w:szCs w:val="20"/>
                <w:shd w:val="clear" w:color="auto" w:fill="FFFFFF"/>
              </w:rPr>
              <w:t>Allegato L al Programma</w:t>
            </w:r>
          </w:p>
          <w:p w14:paraId="33ABE30E" w14:textId="77777777" w:rsidR="00DB7146" w:rsidRDefault="00DB7146" w:rsidP="00DB7146">
            <w:pPr>
              <w:rPr>
                <w:rFonts w:asciiTheme="minorHAnsi" w:hAnsiTheme="minorHAnsi"/>
                <w:b/>
                <w:color w:val="auto"/>
                <w:sz w:val="20"/>
                <w:szCs w:val="20"/>
                <w:shd w:val="clear" w:color="auto" w:fill="FFFFFF"/>
              </w:rPr>
            </w:pPr>
            <w:r>
              <w:rPr>
                <w:rFonts w:asciiTheme="minorHAnsi" w:hAnsiTheme="minorHAnsi"/>
                <w:b/>
                <w:color w:val="auto"/>
                <w:sz w:val="20"/>
                <w:szCs w:val="20"/>
                <w:shd w:val="clear" w:color="auto" w:fill="FFFFFF"/>
              </w:rPr>
              <w:t xml:space="preserve">Misura 02 </w:t>
            </w:r>
            <w:r w:rsidRPr="00C929C6">
              <w:rPr>
                <w:rFonts w:asciiTheme="minorHAnsi" w:hAnsiTheme="minorHAnsi"/>
                <w:b/>
                <w:color w:val="auto"/>
                <w:sz w:val="20"/>
                <w:szCs w:val="20"/>
                <w:shd w:val="clear" w:color="auto" w:fill="FFFFFF"/>
              </w:rPr>
              <w:t>Servizi di consulenza, di sostituzione e di assistenza alla gestione delle aziende agricole (art.15)</w:t>
            </w:r>
          </w:p>
          <w:p w14:paraId="64325ED5" w14:textId="77777777" w:rsidR="00DB7146" w:rsidRPr="00B222AA" w:rsidRDefault="00DB7146" w:rsidP="00DB7146">
            <w:pPr>
              <w:rPr>
                <w:rFonts w:asciiTheme="minorHAnsi" w:hAnsiTheme="minorHAnsi"/>
                <w:color w:val="auto"/>
                <w:sz w:val="20"/>
                <w:szCs w:val="20"/>
                <w:shd w:val="clear" w:color="auto" w:fill="FFFFFF"/>
              </w:rPr>
            </w:pPr>
            <w:r>
              <w:rPr>
                <w:rFonts w:asciiTheme="minorHAnsi" w:hAnsiTheme="minorHAnsi"/>
                <w:color w:val="auto"/>
                <w:sz w:val="20"/>
                <w:szCs w:val="20"/>
                <w:shd w:val="clear" w:color="auto" w:fill="FFFFFF"/>
              </w:rPr>
              <w:t>L’allegato L viene integrato da un nuovo allegato L bis costituito dalla metodologia e calcolo del costo standard per i servizi di consulenza (documento elaborato da ISMEA a livello nazionale - Allegato)</w:t>
            </w:r>
          </w:p>
        </w:tc>
        <w:tc>
          <w:tcPr>
            <w:tcW w:w="4681" w:type="dxa"/>
            <w:tcBorders>
              <w:top w:val="single" w:sz="2" w:space="0" w:color="000001"/>
              <w:left w:val="single" w:sz="2" w:space="0" w:color="000001"/>
              <w:bottom w:val="single" w:sz="2" w:space="0" w:color="000001"/>
              <w:right w:val="single" w:sz="2" w:space="0" w:color="000001"/>
            </w:tcBorders>
            <w:shd w:val="clear" w:color="auto" w:fill="FFFFFF"/>
          </w:tcPr>
          <w:p w14:paraId="7B6D0DE8" w14:textId="77777777" w:rsid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La modifica viene proposta in un’ottica di semplificazione delle procedure di rendicontazione e controllo della spesa, sia per i beneficiari, sia per l’Amministrazione, cogliendo l’opportunità offerta dalla definizione del costo standard a livello nazionale.</w:t>
            </w:r>
          </w:p>
        </w:tc>
        <w:tc>
          <w:tcPr>
            <w:tcW w:w="1704" w:type="dxa"/>
            <w:tcBorders>
              <w:top w:val="single" w:sz="2" w:space="0" w:color="000001"/>
              <w:left w:val="single" w:sz="2" w:space="0" w:color="000001"/>
              <w:bottom w:val="single" w:sz="2" w:space="0" w:color="000001"/>
              <w:right w:val="single" w:sz="2" w:space="0" w:color="000001"/>
            </w:tcBorders>
            <w:shd w:val="clear" w:color="auto" w:fill="FFFFFF"/>
          </w:tcPr>
          <w:p w14:paraId="21BB7924" w14:textId="77777777" w:rsid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La modifica si pone l’obiettivo di semplificare le procedure di rendicontazione e controllo e diminuire i tassi di errore.</w:t>
            </w:r>
          </w:p>
        </w:tc>
        <w:tc>
          <w:tcPr>
            <w:tcW w:w="1672" w:type="dxa"/>
            <w:tcBorders>
              <w:top w:val="single" w:sz="2" w:space="0" w:color="000001"/>
              <w:left w:val="single" w:sz="2" w:space="0" w:color="000001"/>
              <w:bottom w:val="single" w:sz="2" w:space="0" w:color="000001"/>
              <w:right w:val="single" w:sz="2" w:space="0" w:color="000001"/>
            </w:tcBorders>
            <w:shd w:val="clear" w:color="auto" w:fill="FFFFFF"/>
          </w:tcPr>
          <w:p w14:paraId="3023174C" w14:textId="77777777" w:rsidR="00DB7146" w:rsidRDefault="00DB7146" w:rsidP="009A105B">
            <w:pPr>
              <w:jc w:val="both"/>
              <w:rPr>
                <w:rFonts w:asciiTheme="minorHAnsi" w:hAnsiTheme="minorHAnsi"/>
                <w:color w:val="auto"/>
                <w:sz w:val="20"/>
                <w:szCs w:val="20"/>
                <w:shd w:val="clear" w:color="auto" w:fill="FFFFFF"/>
              </w:rPr>
            </w:pPr>
            <w:r>
              <w:rPr>
                <w:rFonts w:asciiTheme="minorHAnsi" w:hAnsiTheme="minorHAnsi"/>
                <w:color w:val="auto"/>
                <w:sz w:val="20"/>
                <w:szCs w:val="20"/>
                <w:shd w:val="clear" w:color="auto" w:fill="FFFFFF"/>
              </w:rPr>
              <w:t>Nessun impatto della modifica sugli indicatori</w:t>
            </w:r>
          </w:p>
        </w:tc>
        <w:tc>
          <w:tcPr>
            <w:tcW w:w="1446" w:type="dxa"/>
            <w:tcBorders>
              <w:top w:val="single" w:sz="2" w:space="0" w:color="000001"/>
              <w:left w:val="single" w:sz="2" w:space="0" w:color="000001"/>
              <w:bottom w:val="single" w:sz="2" w:space="0" w:color="000001"/>
              <w:right w:val="single" w:sz="2" w:space="0" w:color="000001"/>
            </w:tcBorders>
            <w:shd w:val="clear" w:color="auto" w:fill="FFFFFF"/>
          </w:tcPr>
          <w:p w14:paraId="4D418172" w14:textId="77777777" w:rsidR="00DB7146" w:rsidRDefault="00DB7146" w:rsidP="009A105B">
            <w:pPr>
              <w:jc w:val="both"/>
              <w:rPr>
                <w:rFonts w:asciiTheme="minorHAnsi" w:hAnsiTheme="minorHAnsi"/>
                <w:color w:val="auto"/>
                <w:sz w:val="20"/>
                <w:szCs w:val="20"/>
              </w:rPr>
            </w:pPr>
            <w:r>
              <w:rPr>
                <w:rFonts w:asciiTheme="minorHAnsi" w:hAnsiTheme="minorHAnsi"/>
                <w:color w:val="auto"/>
                <w:sz w:val="20"/>
                <w:szCs w:val="20"/>
              </w:rPr>
              <w:t>Nessun effetto sull’accordo di partenariato</w:t>
            </w:r>
          </w:p>
        </w:tc>
      </w:tr>
      <w:tr w:rsidR="00326EBC" w:rsidRPr="008C24F8" w14:paraId="2DD3DF99" w14:textId="77777777" w:rsidTr="00120DB4">
        <w:tc>
          <w:tcPr>
            <w:tcW w:w="16304" w:type="dxa"/>
            <w:gridSpan w:val="6"/>
            <w:tcBorders>
              <w:top w:val="single" w:sz="2" w:space="0" w:color="000001"/>
              <w:left w:val="single" w:sz="2" w:space="0" w:color="000001"/>
              <w:bottom w:val="single" w:sz="2" w:space="0" w:color="000001"/>
              <w:right w:val="single" w:sz="2" w:space="0" w:color="000001"/>
            </w:tcBorders>
            <w:shd w:val="clear" w:color="auto" w:fill="FFFFFF"/>
          </w:tcPr>
          <w:p w14:paraId="2A3E29BC" w14:textId="77777777" w:rsidR="00326EBC" w:rsidRDefault="00326EBC" w:rsidP="009A105B">
            <w:pPr>
              <w:jc w:val="both"/>
              <w:rPr>
                <w:rFonts w:asciiTheme="minorHAnsi" w:hAnsiTheme="minorHAnsi"/>
                <w:color w:val="auto"/>
                <w:sz w:val="20"/>
                <w:szCs w:val="20"/>
              </w:rPr>
            </w:pPr>
            <w:r w:rsidRPr="00A84FB4">
              <w:rPr>
                <w:rFonts w:asciiTheme="minorHAnsi" w:hAnsiTheme="minorHAnsi"/>
                <w:b/>
                <w:color w:val="auto"/>
                <w:sz w:val="28"/>
                <w:szCs w:val="28"/>
              </w:rPr>
              <w:t xml:space="preserve">Modifiche </w:t>
            </w:r>
            <w:r>
              <w:rPr>
                <w:rFonts w:asciiTheme="minorHAnsi" w:hAnsiTheme="minorHAnsi"/>
                <w:b/>
                <w:color w:val="auto"/>
                <w:sz w:val="28"/>
                <w:szCs w:val="28"/>
              </w:rPr>
              <w:t>Altri capitoli</w:t>
            </w:r>
            <w:r w:rsidRPr="00A84FB4">
              <w:rPr>
                <w:rFonts w:asciiTheme="minorHAnsi" w:hAnsiTheme="minorHAnsi"/>
                <w:b/>
                <w:color w:val="auto"/>
                <w:sz w:val="28"/>
                <w:szCs w:val="28"/>
              </w:rPr>
              <w:t xml:space="preserve"> del Programma</w:t>
            </w:r>
            <w:r w:rsidR="00A03E2C">
              <w:rPr>
                <w:rFonts w:asciiTheme="minorHAnsi" w:hAnsiTheme="minorHAnsi"/>
                <w:b/>
                <w:color w:val="auto"/>
                <w:sz w:val="28"/>
                <w:szCs w:val="28"/>
              </w:rPr>
              <w:t xml:space="preserve"> – Finanziamenti integrativi</w:t>
            </w:r>
          </w:p>
        </w:tc>
      </w:tr>
      <w:tr w:rsidR="00326EBC" w:rsidRPr="008C24F8" w14:paraId="12C301F0" w14:textId="77777777" w:rsidTr="00120DB4">
        <w:tc>
          <w:tcPr>
            <w:tcW w:w="848" w:type="dxa"/>
            <w:tcBorders>
              <w:top w:val="single" w:sz="2" w:space="0" w:color="000001"/>
              <w:left w:val="single" w:sz="2" w:space="0" w:color="000001"/>
              <w:bottom w:val="single" w:sz="2" w:space="0" w:color="000001"/>
              <w:right w:val="nil"/>
            </w:tcBorders>
            <w:shd w:val="clear" w:color="auto" w:fill="FFFFFF"/>
          </w:tcPr>
          <w:p w14:paraId="3435C34E" w14:textId="77777777" w:rsidR="00326EBC" w:rsidRDefault="00326EBC" w:rsidP="00E12390">
            <w:pPr>
              <w:pStyle w:val="Contenutotabella"/>
              <w:jc w:val="both"/>
              <w:rPr>
                <w:rFonts w:asciiTheme="minorHAnsi" w:hAnsiTheme="minorHAnsi"/>
                <w:b/>
                <w:bCs/>
                <w:color w:val="auto"/>
                <w:sz w:val="20"/>
                <w:szCs w:val="20"/>
              </w:rPr>
            </w:pPr>
            <w:r>
              <w:rPr>
                <w:rFonts w:asciiTheme="minorHAnsi" w:hAnsiTheme="minorHAnsi"/>
                <w:b/>
                <w:bCs/>
                <w:color w:val="auto"/>
                <w:sz w:val="20"/>
                <w:szCs w:val="20"/>
              </w:rPr>
              <w:t>11.b</w:t>
            </w:r>
          </w:p>
        </w:tc>
        <w:tc>
          <w:tcPr>
            <w:tcW w:w="5953"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0D924F32" w14:textId="77777777" w:rsidR="00326EBC" w:rsidRDefault="00326EBC" w:rsidP="00E12390">
            <w:pPr>
              <w:jc w:val="both"/>
              <w:rPr>
                <w:rFonts w:asciiTheme="minorHAnsi" w:hAnsiTheme="minorHAnsi"/>
                <w:b/>
                <w:color w:val="auto"/>
                <w:sz w:val="20"/>
                <w:szCs w:val="20"/>
                <w:shd w:val="clear" w:color="auto" w:fill="FFFFFF"/>
              </w:rPr>
            </w:pPr>
            <w:r>
              <w:rPr>
                <w:rFonts w:asciiTheme="minorHAnsi" w:hAnsiTheme="minorHAnsi"/>
                <w:b/>
                <w:color w:val="auto"/>
                <w:sz w:val="20"/>
                <w:szCs w:val="20"/>
                <w:shd w:val="clear" w:color="auto" w:fill="FFFFFF"/>
              </w:rPr>
              <w:t>Capitolo 12 Finanziamento nazionale integrativo</w:t>
            </w:r>
          </w:p>
          <w:p w14:paraId="40F4EC0F" w14:textId="77777777" w:rsidR="003446FE" w:rsidRDefault="003446FE" w:rsidP="00E12390">
            <w:pPr>
              <w:jc w:val="both"/>
              <w:rPr>
                <w:rFonts w:asciiTheme="minorHAnsi" w:hAnsiTheme="minorHAnsi"/>
                <w:b/>
                <w:color w:val="auto"/>
                <w:sz w:val="20"/>
                <w:szCs w:val="20"/>
                <w:shd w:val="clear" w:color="auto" w:fill="FFFFFF"/>
              </w:rPr>
            </w:pPr>
          </w:p>
          <w:tbl>
            <w:tblPr>
              <w:tblW w:w="5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3021"/>
            </w:tblGrid>
            <w:tr w:rsidR="003446FE" w:rsidRPr="00D00036" w14:paraId="5744D6E0" w14:textId="77777777" w:rsidTr="00BD4119">
              <w:tc>
                <w:tcPr>
                  <w:tcW w:w="2217" w:type="pct"/>
                  <w:shd w:val="clear" w:color="auto" w:fill="92D050"/>
                  <w:tcMar>
                    <w:top w:w="60" w:type="dxa"/>
                  </w:tcMar>
                </w:tcPr>
                <w:p w14:paraId="0F10CC73" w14:textId="77777777" w:rsidR="003446FE" w:rsidRPr="00D00036" w:rsidRDefault="003446FE" w:rsidP="00B3207C">
                  <w:pPr>
                    <w:framePr w:hSpace="141" w:wrap="around" w:vAnchor="text" w:hAnchor="text" w:x="-857" w:y="1"/>
                    <w:spacing w:after="100" w:afterAutospacing="1"/>
                    <w:suppressOverlap/>
                    <w:jc w:val="center"/>
                    <w:rPr>
                      <w:rFonts w:asciiTheme="minorHAnsi" w:hAnsiTheme="minorHAnsi" w:cstheme="minorHAnsi"/>
                      <w:b/>
                      <w:sz w:val="16"/>
                      <w:szCs w:val="16"/>
                    </w:rPr>
                  </w:pPr>
                  <w:r w:rsidRPr="00D00036">
                    <w:rPr>
                      <w:rFonts w:asciiTheme="minorHAnsi" w:hAnsiTheme="minorHAnsi" w:cstheme="minorHAnsi"/>
                      <w:b/>
                      <w:sz w:val="16"/>
                      <w:szCs w:val="16"/>
                    </w:rPr>
                    <w:t>Misura</w:t>
                  </w:r>
                </w:p>
              </w:tc>
              <w:tc>
                <w:tcPr>
                  <w:tcW w:w="2783" w:type="pct"/>
                  <w:shd w:val="clear" w:color="auto" w:fill="92D050"/>
                  <w:tcMar>
                    <w:top w:w="60" w:type="dxa"/>
                  </w:tcMar>
                </w:tcPr>
                <w:p w14:paraId="128018D1" w14:textId="77777777" w:rsidR="003446FE" w:rsidRPr="00D00036" w:rsidRDefault="003446FE" w:rsidP="00B3207C">
                  <w:pPr>
                    <w:framePr w:hSpace="141" w:wrap="around" w:vAnchor="text" w:hAnchor="text" w:x="-857" w:y="1"/>
                    <w:spacing w:after="100" w:afterAutospacing="1"/>
                    <w:suppressOverlap/>
                    <w:jc w:val="center"/>
                    <w:rPr>
                      <w:rFonts w:asciiTheme="minorHAnsi" w:hAnsiTheme="minorHAnsi" w:cstheme="minorHAnsi"/>
                      <w:sz w:val="16"/>
                      <w:szCs w:val="16"/>
                    </w:rPr>
                  </w:pPr>
                  <w:r w:rsidRPr="00D00036">
                    <w:rPr>
                      <w:rFonts w:asciiTheme="minorHAnsi" w:hAnsiTheme="minorHAnsi" w:cstheme="minorHAnsi"/>
                      <w:b/>
                      <w:sz w:val="16"/>
                      <w:szCs w:val="16"/>
                    </w:rPr>
                    <w:t>Finanziamenti nazionali integrativi durante il periodo 2014-2020 (in EUR)</w:t>
                  </w:r>
                </w:p>
              </w:tc>
            </w:tr>
            <w:tr w:rsidR="003446FE" w:rsidRPr="00D00036" w14:paraId="0FBCEB8E" w14:textId="77777777" w:rsidTr="00BD4119">
              <w:trPr>
                <w:trHeight w:val="23"/>
              </w:trPr>
              <w:tc>
                <w:tcPr>
                  <w:tcW w:w="2217" w:type="pct"/>
                  <w:shd w:val="clear" w:color="auto" w:fill="FFFFFF"/>
                  <w:tcMar>
                    <w:top w:w="60" w:type="dxa"/>
                  </w:tcMar>
                </w:tcPr>
                <w:p w14:paraId="06F43E1F" w14:textId="77777777" w:rsidR="003446FE" w:rsidRPr="00D00036" w:rsidRDefault="003446FE" w:rsidP="00B3207C">
                  <w:pPr>
                    <w:framePr w:hSpace="141" w:wrap="around" w:vAnchor="text" w:hAnchor="text" w:x="-857" w:y="1"/>
                    <w:spacing w:after="100" w:afterAutospacing="1"/>
                    <w:suppressOverlap/>
                    <w:rPr>
                      <w:rFonts w:asciiTheme="minorHAnsi" w:hAnsiTheme="minorHAnsi" w:cstheme="minorHAnsi"/>
                      <w:sz w:val="16"/>
                      <w:szCs w:val="16"/>
                    </w:rPr>
                  </w:pPr>
                  <w:r w:rsidRPr="00D00036">
                    <w:rPr>
                      <w:rFonts w:asciiTheme="minorHAnsi" w:hAnsiTheme="minorHAnsi" w:cstheme="minorHAnsi"/>
                      <w:sz w:val="16"/>
                      <w:szCs w:val="16"/>
                    </w:rPr>
                    <w:t>M01 - Trasferimento di conoscenze e azioni di informazione (art. 14)</w:t>
                  </w:r>
                </w:p>
              </w:tc>
              <w:tc>
                <w:tcPr>
                  <w:tcW w:w="2783" w:type="pct"/>
                  <w:shd w:val="clear" w:color="auto" w:fill="FFFFFF"/>
                  <w:tcMar>
                    <w:top w:w="60" w:type="dxa"/>
                  </w:tcMar>
                </w:tcPr>
                <w:p w14:paraId="62FFF092" w14:textId="77777777" w:rsidR="003446FE" w:rsidRPr="00D00036" w:rsidRDefault="003446FE" w:rsidP="00B3207C">
                  <w:pPr>
                    <w:framePr w:hSpace="141" w:wrap="around" w:vAnchor="text" w:hAnchor="text" w:x="-857" w:y="1"/>
                    <w:spacing w:after="100" w:afterAutospacing="1"/>
                    <w:suppressOverlap/>
                    <w:jc w:val="right"/>
                    <w:rPr>
                      <w:rFonts w:asciiTheme="minorHAnsi" w:hAnsiTheme="minorHAnsi" w:cstheme="minorHAnsi"/>
                      <w:sz w:val="16"/>
                      <w:szCs w:val="16"/>
                    </w:rPr>
                  </w:pPr>
                  <w:r w:rsidRPr="00D00036">
                    <w:rPr>
                      <w:rFonts w:asciiTheme="minorHAnsi" w:hAnsiTheme="minorHAnsi" w:cstheme="minorHAnsi"/>
                      <w:sz w:val="16"/>
                      <w:szCs w:val="16"/>
                    </w:rPr>
                    <w:t>0,00</w:t>
                  </w:r>
                </w:p>
              </w:tc>
            </w:tr>
            <w:tr w:rsidR="003446FE" w:rsidRPr="00D00036" w14:paraId="7D7F6BD1" w14:textId="77777777" w:rsidTr="00BD4119">
              <w:tc>
                <w:tcPr>
                  <w:tcW w:w="2217" w:type="pct"/>
                  <w:shd w:val="clear" w:color="auto" w:fill="FFFFFF"/>
                  <w:tcMar>
                    <w:top w:w="60" w:type="dxa"/>
                  </w:tcMar>
                </w:tcPr>
                <w:p w14:paraId="5DA56A3F" w14:textId="77777777" w:rsidR="003446FE" w:rsidRPr="00D00036" w:rsidRDefault="003446FE" w:rsidP="00B3207C">
                  <w:pPr>
                    <w:framePr w:hSpace="141" w:wrap="around" w:vAnchor="text" w:hAnchor="text" w:x="-857" w:y="1"/>
                    <w:spacing w:after="100" w:afterAutospacing="1"/>
                    <w:suppressOverlap/>
                    <w:rPr>
                      <w:rFonts w:asciiTheme="minorHAnsi" w:hAnsiTheme="minorHAnsi" w:cstheme="minorHAnsi"/>
                      <w:sz w:val="16"/>
                      <w:szCs w:val="16"/>
                    </w:rPr>
                  </w:pPr>
                  <w:r w:rsidRPr="00D00036">
                    <w:rPr>
                      <w:rFonts w:asciiTheme="minorHAnsi" w:hAnsiTheme="minorHAnsi" w:cstheme="minorHAnsi"/>
                      <w:sz w:val="16"/>
                      <w:szCs w:val="16"/>
                    </w:rPr>
                    <w:t>M02 - Servizi di consulenza, di sostituzione e di assistenza alla gestione delle aziende agricole (art. 15)</w:t>
                  </w:r>
                </w:p>
              </w:tc>
              <w:tc>
                <w:tcPr>
                  <w:tcW w:w="2783" w:type="pct"/>
                  <w:shd w:val="clear" w:color="auto" w:fill="FFFFFF"/>
                  <w:tcMar>
                    <w:top w:w="60" w:type="dxa"/>
                  </w:tcMar>
                </w:tcPr>
                <w:p w14:paraId="2DE9CD8D" w14:textId="77777777" w:rsidR="003446FE" w:rsidRPr="00D00036" w:rsidRDefault="003446FE" w:rsidP="00B3207C">
                  <w:pPr>
                    <w:framePr w:hSpace="141" w:wrap="around" w:vAnchor="text" w:hAnchor="text" w:x="-857" w:y="1"/>
                    <w:spacing w:after="100" w:afterAutospacing="1"/>
                    <w:suppressOverlap/>
                    <w:jc w:val="right"/>
                    <w:rPr>
                      <w:rFonts w:asciiTheme="minorHAnsi" w:hAnsiTheme="minorHAnsi" w:cstheme="minorHAnsi"/>
                      <w:sz w:val="16"/>
                      <w:szCs w:val="16"/>
                    </w:rPr>
                  </w:pPr>
                  <w:r w:rsidRPr="00D00036">
                    <w:rPr>
                      <w:rFonts w:asciiTheme="minorHAnsi" w:hAnsiTheme="minorHAnsi" w:cstheme="minorHAnsi"/>
                      <w:sz w:val="16"/>
                      <w:szCs w:val="16"/>
                    </w:rPr>
                    <w:t>0,00</w:t>
                  </w:r>
                </w:p>
              </w:tc>
            </w:tr>
            <w:tr w:rsidR="003446FE" w:rsidRPr="00D00036" w14:paraId="5ABC899B" w14:textId="77777777" w:rsidTr="00BD4119">
              <w:tc>
                <w:tcPr>
                  <w:tcW w:w="2217" w:type="pct"/>
                  <w:shd w:val="clear" w:color="auto" w:fill="FFFFFF"/>
                  <w:tcMar>
                    <w:top w:w="60" w:type="dxa"/>
                  </w:tcMar>
                </w:tcPr>
                <w:p w14:paraId="1C5829B6" w14:textId="77777777" w:rsidR="003446FE" w:rsidRPr="00D00036" w:rsidRDefault="003446FE" w:rsidP="00B3207C">
                  <w:pPr>
                    <w:framePr w:hSpace="141" w:wrap="around" w:vAnchor="text" w:hAnchor="text" w:x="-857" w:y="1"/>
                    <w:spacing w:after="100" w:afterAutospacing="1"/>
                    <w:suppressOverlap/>
                    <w:rPr>
                      <w:rFonts w:asciiTheme="minorHAnsi" w:hAnsiTheme="minorHAnsi" w:cstheme="minorHAnsi"/>
                      <w:sz w:val="16"/>
                      <w:szCs w:val="16"/>
                    </w:rPr>
                  </w:pPr>
                  <w:r w:rsidRPr="00D00036">
                    <w:rPr>
                      <w:rFonts w:asciiTheme="minorHAnsi" w:hAnsiTheme="minorHAnsi" w:cstheme="minorHAnsi"/>
                      <w:sz w:val="16"/>
                      <w:szCs w:val="16"/>
                    </w:rPr>
                    <w:t>M03 - Regimi di qualità dei prodotti agricoli e alimentari (art. 16)</w:t>
                  </w:r>
                </w:p>
              </w:tc>
              <w:tc>
                <w:tcPr>
                  <w:tcW w:w="2783" w:type="pct"/>
                  <w:shd w:val="clear" w:color="auto" w:fill="FFFFFF"/>
                  <w:tcMar>
                    <w:top w:w="60" w:type="dxa"/>
                  </w:tcMar>
                </w:tcPr>
                <w:p w14:paraId="7D44FD76" w14:textId="77777777" w:rsidR="003446FE" w:rsidRPr="00D00036" w:rsidRDefault="003446FE" w:rsidP="00B3207C">
                  <w:pPr>
                    <w:framePr w:hSpace="141" w:wrap="around" w:vAnchor="text" w:hAnchor="text" w:x="-857" w:y="1"/>
                    <w:spacing w:after="100" w:afterAutospacing="1"/>
                    <w:suppressOverlap/>
                    <w:jc w:val="right"/>
                    <w:rPr>
                      <w:rFonts w:asciiTheme="minorHAnsi" w:hAnsiTheme="minorHAnsi" w:cstheme="minorHAnsi"/>
                      <w:sz w:val="16"/>
                      <w:szCs w:val="16"/>
                    </w:rPr>
                  </w:pPr>
                  <w:r w:rsidRPr="00D00036">
                    <w:rPr>
                      <w:rFonts w:asciiTheme="minorHAnsi" w:hAnsiTheme="minorHAnsi" w:cstheme="minorHAnsi"/>
                      <w:sz w:val="16"/>
                      <w:szCs w:val="16"/>
                    </w:rPr>
                    <w:t>0,00</w:t>
                  </w:r>
                </w:p>
              </w:tc>
            </w:tr>
            <w:tr w:rsidR="003446FE" w:rsidRPr="00D00036" w14:paraId="0184A09A" w14:textId="77777777" w:rsidTr="00BD4119">
              <w:tc>
                <w:tcPr>
                  <w:tcW w:w="2217" w:type="pct"/>
                  <w:shd w:val="clear" w:color="auto" w:fill="FFFFFF"/>
                  <w:tcMar>
                    <w:top w:w="60" w:type="dxa"/>
                  </w:tcMar>
                </w:tcPr>
                <w:p w14:paraId="0DF7F553" w14:textId="77777777" w:rsidR="003446FE" w:rsidRPr="00D00036" w:rsidRDefault="003446FE" w:rsidP="00B3207C">
                  <w:pPr>
                    <w:framePr w:hSpace="141" w:wrap="around" w:vAnchor="text" w:hAnchor="text" w:x="-857" w:y="1"/>
                    <w:spacing w:after="100" w:afterAutospacing="1"/>
                    <w:suppressOverlap/>
                    <w:rPr>
                      <w:rFonts w:asciiTheme="minorHAnsi" w:hAnsiTheme="minorHAnsi" w:cstheme="minorHAnsi"/>
                      <w:sz w:val="16"/>
                      <w:szCs w:val="16"/>
                    </w:rPr>
                  </w:pPr>
                  <w:r w:rsidRPr="00D00036">
                    <w:rPr>
                      <w:rFonts w:asciiTheme="minorHAnsi" w:hAnsiTheme="minorHAnsi" w:cstheme="minorHAnsi"/>
                      <w:sz w:val="16"/>
                      <w:szCs w:val="16"/>
                    </w:rPr>
                    <w:t>M04 - Investimenti in immobilizzazioni materiali (art. 17)</w:t>
                  </w:r>
                </w:p>
              </w:tc>
              <w:tc>
                <w:tcPr>
                  <w:tcW w:w="2783" w:type="pct"/>
                  <w:shd w:val="clear" w:color="auto" w:fill="FFFFFF"/>
                  <w:tcMar>
                    <w:top w:w="60" w:type="dxa"/>
                  </w:tcMar>
                </w:tcPr>
                <w:p w14:paraId="7C8B27D9" w14:textId="77777777" w:rsidR="003446FE" w:rsidRPr="00D00036" w:rsidRDefault="003446FE" w:rsidP="00B3207C">
                  <w:pPr>
                    <w:framePr w:hSpace="141" w:wrap="around" w:vAnchor="text" w:hAnchor="text" w:x="-857" w:y="1"/>
                    <w:spacing w:after="100" w:afterAutospacing="1"/>
                    <w:suppressOverlap/>
                    <w:jc w:val="right"/>
                    <w:rPr>
                      <w:rFonts w:asciiTheme="minorHAnsi" w:hAnsiTheme="minorHAnsi" w:cstheme="minorHAnsi"/>
                      <w:sz w:val="16"/>
                      <w:szCs w:val="16"/>
                    </w:rPr>
                  </w:pPr>
                  <w:r w:rsidRPr="00D00036">
                    <w:rPr>
                      <w:rFonts w:asciiTheme="minorHAnsi" w:hAnsiTheme="minorHAnsi" w:cstheme="minorHAnsi"/>
                      <w:sz w:val="16"/>
                      <w:szCs w:val="16"/>
                    </w:rPr>
                    <w:t>9.000.000,00</w:t>
                  </w:r>
                </w:p>
              </w:tc>
            </w:tr>
            <w:tr w:rsidR="003446FE" w:rsidRPr="00D00036" w14:paraId="51949F5C" w14:textId="77777777" w:rsidTr="00BD4119">
              <w:tc>
                <w:tcPr>
                  <w:tcW w:w="2217" w:type="pct"/>
                  <w:shd w:val="clear" w:color="auto" w:fill="FFFFFF"/>
                  <w:tcMar>
                    <w:top w:w="60" w:type="dxa"/>
                  </w:tcMar>
                </w:tcPr>
                <w:p w14:paraId="5811F5A8" w14:textId="77777777" w:rsidR="003446FE" w:rsidRPr="00D00036" w:rsidRDefault="003446FE" w:rsidP="00B3207C">
                  <w:pPr>
                    <w:framePr w:hSpace="141" w:wrap="around" w:vAnchor="text" w:hAnchor="text" w:x="-857" w:y="1"/>
                    <w:spacing w:after="100" w:afterAutospacing="1"/>
                    <w:suppressOverlap/>
                    <w:rPr>
                      <w:rFonts w:asciiTheme="minorHAnsi" w:hAnsiTheme="minorHAnsi" w:cstheme="minorHAnsi"/>
                      <w:sz w:val="16"/>
                      <w:szCs w:val="16"/>
                    </w:rPr>
                  </w:pPr>
                  <w:r w:rsidRPr="00D00036">
                    <w:rPr>
                      <w:rFonts w:asciiTheme="minorHAnsi" w:hAnsiTheme="minorHAnsi" w:cstheme="minorHAnsi"/>
                      <w:sz w:val="16"/>
                      <w:szCs w:val="16"/>
                    </w:rPr>
                    <w:t>M05 - Ripristino del potenziale produttivo agricolo danneggiato da calamità naturali e da eventi catastrofici e introduzione di adeguate misure di prevenzione (articolo 18)</w:t>
                  </w:r>
                </w:p>
              </w:tc>
              <w:tc>
                <w:tcPr>
                  <w:tcW w:w="2783" w:type="pct"/>
                  <w:shd w:val="clear" w:color="auto" w:fill="FFFFFF"/>
                  <w:tcMar>
                    <w:top w:w="60" w:type="dxa"/>
                  </w:tcMar>
                </w:tcPr>
                <w:p w14:paraId="440A1356" w14:textId="77777777" w:rsidR="003446FE" w:rsidRPr="00D00036" w:rsidRDefault="003446FE" w:rsidP="00B3207C">
                  <w:pPr>
                    <w:framePr w:hSpace="141" w:wrap="around" w:vAnchor="text" w:hAnchor="text" w:x="-857" w:y="1"/>
                    <w:spacing w:after="100" w:afterAutospacing="1"/>
                    <w:suppressOverlap/>
                    <w:jc w:val="right"/>
                    <w:rPr>
                      <w:rFonts w:asciiTheme="minorHAnsi" w:hAnsiTheme="minorHAnsi" w:cstheme="minorHAnsi"/>
                      <w:sz w:val="16"/>
                      <w:szCs w:val="16"/>
                    </w:rPr>
                  </w:pPr>
                  <w:r w:rsidRPr="00D00036">
                    <w:rPr>
                      <w:rFonts w:asciiTheme="minorHAnsi" w:hAnsiTheme="minorHAnsi" w:cstheme="minorHAnsi"/>
                      <w:sz w:val="16"/>
                      <w:szCs w:val="16"/>
                    </w:rPr>
                    <w:t>0,00</w:t>
                  </w:r>
                </w:p>
              </w:tc>
            </w:tr>
            <w:tr w:rsidR="003446FE" w:rsidRPr="00D00036" w14:paraId="77CC1B3C" w14:textId="77777777" w:rsidTr="00BD4119">
              <w:tc>
                <w:tcPr>
                  <w:tcW w:w="2217" w:type="pct"/>
                  <w:shd w:val="clear" w:color="auto" w:fill="FFFFFF"/>
                  <w:tcMar>
                    <w:top w:w="60" w:type="dxa"/>
                  </w:tcMar>
                </w:tcPr>
                <w:p w14:paraId="4DB27373" w14:textId="77777777" w:rsidR="003446FE" w:rsidRPr="00D00036" w:rsidRDefault="003446FE" w:rsidP="00B3207C">
                  <w:pPr>
                    <w:framePr w:hSpace="141" w:wrap="around" w:vAnchor="text" w:hAnchor="text" w:x="-857" w:y="1"/>
                    <w:spacing w:after="100" w:afterAutospacing="1"/>
                    <w:suppressOverlap/>
                    <w:rPr>
                      <w:rFonts w:asciiTheme="minorHAnsi" w:hAnsiTheme="minorHAnsi" w:cstheme="minorHAnsi"/>
                      <w:sz w:val="16"/>
                      <w:szCs w:val="16"/>
                    </w:rPr>
                  </w:pPr>
                  <w:r w:rsidRPr="00D00036">
                    <w:rPr>
                      <w:rFonts w:asciiTheme="minorHAnsi" w:hAnsiTheme="minorHAnsi" w:cstheme="minorHAnsi"/>
                      <w:sz w:val="16"/>
                      <w:szCs w:val="16"/>
                    </w:rPr>
                    <w:t>M06 - Sviluppo delle aziende agricole e delle imprese (art. 19)</w:t>
                  </w:r>
                </w:p>
              </w:tc>
              <w:tc>
                <w:tcPr>
                  <w:tcW w:w="2783" w:type="pct"/>
                  <w:shd w:val="clear" w:color="auto" w:fill="FFFFFF"/>
                  <w:tcMar>
                    <w:top w:w="60" w:type="dxa"/>
                  </w:tcMar>
                </w:tcPr>
                <w:p w14:paraId="5203D340" w14:textId="77777777" w:rsidR="003446FE" w:rsidRPr="00D00036" w:rsidRDefault="003446FE" w:rsidP="00B3207C">
                  <w:pPr>
                    <w:framePr w:hSpace="141" w:wrap="around" w:vAnchor="text" w:hAnchor="text" w:x="-857" w:y="1"/>
                    <w:spacing w:after="100" w:afterAutospacing="1"/>
                    <w:suppressOverlap/>
                    <w:jc w:val="right"/>
                    <w:rPr>
                      <w:rFonts w:asciiTheme="minorHAnsi" w:hAnsiTheme="minorHAnsi" w:cstheme="minorHAnsi"/>
                      <w:sz w:val="16"/>
                      <w:szCs w:val="16"/>
                    </w:rPr>
                  </w:pPr>
                  <w:r w:rsidRPr="00D00036">
                    <w:rPr>
                      <w:rFonts w:asciiTheme="minorHAnsi" w:hAnsiTheme="minorHAnsi" w:cstheme="minorHAnsi"/>
                      <w:sz w:val="16"/>
                      <w:szCs w:val="16"/>
                    </w:rPr>
                    <w:t>0,00</w:t>
                  </w:r>
                </w:p>
              </w:tc>
            </w:tr>
            <w:tr w:rsidR="003446FE" w:rsidRPr="00D00036" w14:paraId="1975D4A5" w14:textId="77777777" w:rsidTr="00BD4119">
              <w:tc>
                <w:tcPr>
                  <w:tcW w:w="2217" w:type="pct"/>
                  <w:shd w:val="clear" w:color="auto" w:fill="FFFFFF"/>
                  <w:tcMar>
                    <w:top w:w="60" w:type="dxa"/>
                  </w:tcMar>
                </w:tcPr>
                <w:p w14:paraId="6C3DB698" w14:textId="77777777" w:rsidR="003446FE" w:rsidRPr="00D00036" w:rsidRDefault="003446FE" w:rsidP="00B3207C">
                  <w:pPr>
                    <w:framePr w:hSpace="141" w:wrap="around" w:vAnchor="text" w:hAnchor="text" w:x="-857" w:y="1"/>
                    <w:spacing w:after="100" w:afterAutospacing="1"/>
                    <w:suppressOverlap/>
                    <w:rPr>
                      <w:rFonts w:asciiTheme="minorHAnsi" w:hAnsiTheme="minorHAnsi" w:cstheme="minorHAnsi"/>
                      <w:sz w:val="16"/>
                      <w:szCs w:val="16"/>
                    </w:rPr>
                  </w:pPr>
                  <w:r w:rsidRPr="00D00036">
                    <w:rPr>
                      <w:rFonts w:asciiTheme="minorHAnsi" w:hAnsiTheme="minorHAnsi" w:cstheme="minorHAnsi"/>
                      <w:sz w:val="16"/>
                      <w:szCs w:val="16"/>
                    </w:rPr>
                    <w:t xml:space="preserve">M07 - Servizi di base e </w:t>
                  </w:r>
                  <w:r w:rsidRPr="00D00036">
                    <w:rPr>
                      <w:rFonts w:asciiTheme="minorHAnsi" w:hAnsiTheme="minorHAnsi" w:cstheme="minorHAnsi"/>
                      <w:sz w:val="16"/>
                      <w:szCs w:val="16"/>
                    </w:rPr>
                    <w:lastRenderedPageBreak/>
                    <w:t>rinnovamento dei villaggi nelle zone rurali (Art. 20)</w:t>
                  </w:r>
                </w:p>
              </w:tc>
              <w:tc>
                <w:tcPr>
                  <w:tcW w:w="2783" w:type="pct"/>
                  <w:shd w:val="clear" w:color="auto" w:fill="FFFFFF"/>
                  <w:tcMar>
                    <w:top w:w="60" w:type="dxa"/>
                  </w:tcMar>
                </w:tcPr>
                <w:p w14:paraId="1692D158" w14:textId="77777777" w:rsidR="003446FE" w:rsidRPr="00D00036" w:rsidRDefault="003446FE" w:rsidP="00B3207C">
                  <w:pPr>
                    <w:framePr w:hSpace="141" w:wrap="around" w:vAnchor="text" w:hAnchor="text" w:x="-857" w:y="1"/>
                    <w:spacing w:after="100" w:afterAutospacing="1"/>
                    <w:suppressOverlap/>
                    <w:jc w:val="right"/>
                    <w:rPr>
                      <w:rFonts w:asciiTheme="minorHAnsi" w:hAnsiTheme="minorHAnsi" w:cstheme="minorHAnsi"/>
                      <w:sz w:val="16"/>
                      <w:szCs w:val="16"/>
                    </w:rPr>
                  </w:pPr>
                  <w:r w:rsidRPr="00D00036">
                    <w:rPr>
                      <w:rFonts w:asciiTheme="minorHAnsi" w:hAnsiTheme="minorHAnsi" w:cstheme="minorHAnsi"/>
                      <w:sz w:val="16"/>
                      <w:szCs w:val="16"/>
                    </w:rPr>
                    <w:lastRenderedPageBreak/>
                    <w:t>0,00</w:t>
                  </w:r>
                </w:p>
              </w:tc>
            </w:tr>
            <w:tr w:rsidR="003446FE" w:rsidRPr="00D00036" w14:paraId="3EFAE92F" w14:textId="77777777" w:rsidTr="00BD4119">
              <w:tc>
                <w:tcPr>
                  <w:tcW w:w="2217" w:type="pct"/>
                  <w:shd w:val="clear" w:color="auto" w:fill="FFFFFF"/>
                  <w:tcMar>
                    <w:top w:w="60" w:type="dxa"/>
                  </w:tcMar>
                </w:tcPr>
                <w:p w14:paraId="586B6FD8" w14:textId="77777777" w:rsidR="003446FE" w:rsidRPr="00D00036" w:rsidRDefault="003446FE" w:rsidP="00B3207C">
                  <w:pPr>
                    <w:framePr w:hSpace="141" w:wrap="around" w:vAnchor="text" w:hAnchor="text" w:x="-857" w:y="1"/>
                    <w:spacing w:after="100" w:afterAutospacing="1"/>
                    <w:suppressOverlap/>
                    <w:rPr>
                      <w:rFonts w:asciiTheme="minorHAnsi" w:hAnsiTheme="minorHAnsi" w:cstheme="minorHAnsi"/>
                      <w:sz w:val="16"/>
                      <w:szCs w:val="16"/>
                    </w:rPr>
                  </w:pPr>
                  <w:r w:rsidRPr="00D00036">
                    <w:rPr>
                      <w:rFonts w:asciiTheme="minorHAnsi" w:hAnsiTheme="minorHAnsi" w:cstheme="minorHAnsi"/>
                      <w:sz w:val="16"/>
                      <w:szCs w:val="16"/>
                    </w:rPr>
                    <w:t>M08 - Investimenti nello sviluppo delle aree forestali e nel miglioramento della redditività delle foreste (articoli da 21 a 26)</w:t>
                  </w:r>
                </w:p>
              </w:tc>
              <w:tc>
                <w:tcPr>
                  <w:tcW w:w="2783" w:type="pct"/>
                  <w:shd w:val="clear" w:color="auto" w:fill="FFFFFF"/>
                  <w:tcMar>
                    <w:top w:w="60" w:type="dxa"/>
                  </w:tcMar>
                </w:tcPr>
                <w:p w14:paraId="2CAE8A43" w14:textId="77777777" w:rsidR="003446FE" w:rsidRPr="00D00036" w:rsidRDefault="003446FE" w:rsidP="00B3207C">
                  <w:pPr>
                    <w:framePr w:hSpace="141" w:wrap="around" w:vAnchor="text" w:hAnchor="text" w:x="-857" w:y="1"/>
                    <w:spacing w:after="100" w:afterAutospacing="1"/>
                    <w:suppressOverlap/>
                    <w:jc w:val="right"/>
                    <w:rPr>
                      <w:rFonts w:asciiTheme="minorHAnsi" w:hAnsiTheme="minorHAnsi" w:cstheme="minorHAnsi"/>
                      <w:sz w:val="16"/>
                      <w:szCs w:val="16"/>
                    </w:rPr>
                  </w:pPr>
                  <w:r w:rsidRPr="00D00036">
                    <w:rPr>
                      <w:rFonts w:asciiTheme="minorHAnsi" w:hAnsiTheme="minorHAnsi" w:cstheme="minorHAnsi"/>
                      <w:sz w:val="16"/>
                      <w:szCs w:val="16"/>
                    </w:rPr>
                    <w:t>0,00</w:t>
                  </w:r>
                </w:p>
              </w:tc>
            </w:tr>
            <w:tr w:rsidR="003446FE" w:rsidRPr="00D00036" w14:paraId="71750C06" w14:textId="77777777" w:rsidTr="00BD4119">
              <w:tc>
                <w:tcPr>
                  <w:tcW w:w="2217" w:type="pct"/>
                  <w:shd w:val="clear" w:color="auto" w:fill="FFFFFF"/>
                  <w:tcMar>
                    <w:top w:w="60" w:type="dxa"/>
                  </w:tcMar>
                </w:tcPr>
                <w:p w14:paraId="3AD0766F" w14:textId="77777777" w:rsidR="003446FE" w:rsidRPr="00D00036" w:rsidRDefault="003446FE" w:rsidP="00B3207C">
                  <w:pPr>
                    <w:framePr w:hSpace="141" w:wrap="around" w:vAnchor="text" w:hAnchor="text" w:x="-857" w:y="1"/>
                    <w:spacing w:after="100" w:afterAutospacing="1"/>
                    <w:suppressOverlap/>
                    <w:rPr>
                      <w:rFonts w:asciiTheme="minorHAnsi" w:hAnsiTheme="minorHAnsi" w:cstheme="minorHAnsi"/>
                      <w:sz w:val="16"/>
                      <w:szCs w:val="16"/>
                    </w:rPr>
                  </w:pPr>
                  <w:r w:rsidRPr="00D00036">
                    <w:rPr>
                      <w:rFonts w:asciiTheme="minorHAnsi" w:hAnsiTheme="minorHAnsi" w:cstheme="minorHAnsi"/>
                      <w:sz w:val="16"/>
                      <w:szCs w:val="16"/>
                    </w:rPr>
                    <w:t>M10 - Pagamenti agro-climatico-ambientali (art. 28)</w:t>
                  </w:r>
                </w:p>
              </w:tc>
              <w:tc>
                <w:tcPr>
                  <w:tcW w:w="2783" w:type="pct"/>
                  <w:shd w:val="clear" w:color="auto" w:fill="FFFFFF"/>
                  <w:tcMar>
                    <w:top w:w="60" w:type="dxa"/>
                  </w:tcMar>
                </w:tcPr>
                <w:p w14:paraId="6A5C494D" w14:textId="77777777" w:rsidR="003446FE" w:rsidRPr="00D00036" w:rsidRDefault="003446FE" w:rsidP="00B3207C">
                  <w:pPr>
                    <w:framePr w:hSpace="141" w:wrap="around" w:vAnchor="text" w:hAnchor="text" w:x="-857" w:y="1"/>
                    <w:spacing w:after="100" w:afterAutospacing="1"/>
                    <w:suppressOverlap/>
                    <w:jc w:val="right"/>
                    <w:rPr>
                      <w:rFonts w:asciiTheme="minorHAnsi" w:hAnsiTheme="minorHAnsi" w:cstheme="minorHAnsi"/>
                      <w:sz w:val="16"/>
                      <w:szCs w:val="16"/>
                    </w:rPr>
                  </w:pPr>
                  <w:r w:rsidRPr="00D00036">
                    <w:rPr>
                      <w:rFonts w:asciiTheme="minorHAnsi" w:hAnsiTheme="minorHAnsi" w:cstheme="minorHAnsi"/>
                      <w:sz w:val="16"/>
                      <w:szCs w:val="16"/>
                    </w:rPr>
                    <w:t>0,00</w:t>
                  </w:r>
                </w:p>
              </w:tc>
            </w:tr>
            <w:tr w:rsidR="003446FE" w:rsidRPr="00D00036" w14:paraId="14E386F7" w14:textId="77777777" w:rsidTr="00BD4119">
              <w:tc>
                <w:tcPr>
                  <w:tcW w:w="2217" w:type="pct"/>
                  <w:shd w:val="clear" w:color="auto" w:fill="FFFFFF"/>
                  <w:tcMar>
                    <w:top w:w="60" w:type="dxa"/>
                  </w:tcMar>
                </w:tcPr>
                <w:p w14:paraId="325B4874" w14:textId="77777777" w:rsidR="003446FE" w:rsidRPr="00D00036" w:rsidRDefault="003446FE" w:rsidP="00B3207C">
                  <w:pPr>
                    <w:framePr w:hSpace="141" w:wrap="around" w:vAnchor="text" w:hAnchor="text" w:x="-857" w:y="1"/>
                    <w:spacing w:after="100" w:afterAutospacing="1"/>
                    <w:suppressOverlap/>
                    <w:rPr>
                      <w:rFonts w:asciiTheme="minorHAnsi" w:hAnsiTheme="minorHAnsi" w:cstheme="minorHAnsi"/>
                      <w:sz w:val="16"/>
                      <w:szCs w:val="16"/>
                    </w:rPr>
                  </w:pPr>
                  <w:r w:rsidRPr="00D00036">
                    <w:rPr>
                      <w:rFonts w:asciiTheme="minorHAnsi" w:hAnsiTheme="minorHAnsi" w:cstheme="minorHAnsi"/>
                      <w:sz w:val="16"/>
                      <w:szCs w:val="16"/>
                    </w:rPr>
                    <w:t>M11 - Agricoltura biologica (art. 29)</w:t>
                  </w:r>
                </w:p>
              </w:tc>
              <w:tc>
                <w:tcPr>
                  <w:tcW w:w="2783" w:type="pct"/>
                  <w:shd w:val="clear" w:color="auto" w:fill="FFFFFF"/>
                  <w:tcMar>
                    <w:top w:w="60" w:type="dxa"/>
                  </w:tcMar>
                </w:tcPr>
                <w:p w14:paraId="72F750CC" w14:textId="77777777" w:rsidR="003446FE" w:rsidRPr="00D00036" w:rsidRDefault="003446FE" w:rsidP="00B3207C">
                  <w:pPr>
                    <w:framePr w:hSpace="141" w:wrap="around" w:vAnchor="text" w:hAnchor="text" w:x="-857" w:y="1"/>
                    <w:spacing w:after="100" w:afterAutospacing="1"/>
                    <w:suppressOverlap/>
                    <w:jc w:val="right"/>
                    <w:rPr>
                      <w:rFonts w:asciiTheme="minorHAnsi" w:hAnsiTheme="minorHAnsi" w:cstheme="minorHAnsi"/>
                      <w:sz w:val="16"/>
                      <w:szCs w:val="16"/>
                    </w:rPr>
                  </w:pPr>
                  <w:r w:rsidRPr="00D00036">
                    <w:rPr>
                      <w:rFonts w:asciiTheme="minorHAnsi" w:hAnsiTheme="minorHAnsi" w:cstheme="minorHAnsi"/>
                      <w:sz w:val="16"/>
                      <w:szCs w:val="16"/>
                    </w:rPr>
                    <w:t>0,00</w:t>
                  </w:r>
                </w:p>
              </w:tc>
            </w:tr>
            <w:tr w:rsidR="003446FE" w:rsidRPr="00D00036" w14:paraId="461C6116" w14:textId="77777777" w:rsidTr="00BD4119">
              <w:tc>
                <w:tcPr>
                  <w:tcW w:w="2217" w:type="pct"/>
                  <w:shd w:val="clear" w:color="auto" w:fill="FFFFFF"/>
                  <w:tcMar>
                    <w:top w:w="60" w:type="dxa"/>
                  </w:tcMar>
                </w:tcPr>
                <w:p w14:paraId="77BD7816" w14:textId="77777777" w:rsidR="003446FE" w:rsidRPr="00D00036" w:rsidRDefault="003446FE" w:rsidP="00B3207C">
                  <w:pPr>
                    <w:framePr w:hSpace="141" w:wrap="around" w:vAnchor="text" w:hAnchor="text" w:x="-857" w:y="1"/>
                    <w:spacing w:after="100" w:afterAutospacing="1"/>
                    <w:suppressOverlap/>
                    <w:rPr>
                      <w:rFonts w:asciiTheme="minorHAnsi" w:hAnsiTheme="minorHAnsi" w:cstheme="minorHAnsi"/>
                      <w:sz w:val="16"/>
                      <w:szCs w:val="16"/>
                    </w:rPr>
                  </w:pPr>
                  <w:r w:rsidRPr="00D00036">
                    <w:rPr>
                      <w:rFonts w:asciiTheme="minorHAnsi" w:hAnsiTheme="minorHAnsi" w:cstheme="minorHAnsi"/>
                      <w:sz w:val="16"/>
                      <w:szCs w:val="16"/>
                    </w:rPr>
                    <w:t>M12 - Indennità Natura 2000 e indennità connesse alla direttiva quadro sulle acque (art. 30)</w:t>
                  </w:r>
                </w:p>
              </w:tc>
              <w:tc>
                <w:tcPr>
                  <w:tcW w:w="2783" w:type="pct"/>
                  <w:shd w:val="clear" w:color="auto" w:fill="FFFFFF"/>
                  <w:tcMar>
                    <w:top w:w="60" w:type="dxa"/>
                  </w:tcMar>
                </w:tcPr>
                <w:p w14:paraId="3AB4D356" w14:textId="77777777" w:rsidR="003446FE" w:rsidRPr="00D00036" w:rsidRDefault="003446FE" w:rsidP="00B3207C">
                  <w:pPr>
                    <w:framePr w:hSpace="141" w:wrap="around" w:vAnchor="text" w:hAnchor="text" w:x="-857" w:y="1"/>
                    <w:spacing w:after="100" w:afterAutospacing="1"/>
                    <w:suppressOverlap/>
                    <w:jc w:val="right"/>
                    <w:rPr>
                      <w:rFonts w:asciiTheme="minorHAnsi" w:hAnsiTheme="minorHAnsi" w:cstheme="minorHAnsi"/>
                      <w:sz w:val="16"/>
                      <w:szCs w:val="16"/>
                    </w:rPr>
                  </w:pPr>
                  <w:r w:rsidRPr="00D00036">
                    <w:rPr>
                      <w:rFonts w:asciiTheme="minorHAnsi" w:hAnsiTheme="minorHAnsi" w:cstheme="minorHAnsi"/>
                      <w:sz w:val="16"/>
                      <w:szCs w:val="16"/>
                    </w:rPr>
                    <w:t>0,00</w:t>
                  </w:r>
                </w:p>
              </w:tc>
            </w:tr>
            <w:tr w:rsidR="003446FE" w:rsidRPr="00D00036" w14:paraId="584E0FE6" w14:textId="77777777" w:rsidTr="00BD4119">
              <w:tc>
                <w:tcPr>
                  <w:tcW w:w="2217" w:type="pct"/>
                  <w:shd w:val="clear" w:color="auto" w:fill="FFFFFF"/>
                  <w:tcMar>
                    <w:top w:w="60" w:type="dxa"/>
                  </w:tcMar>
                </w:tcPr>
                <w:p w14:paraId="49C55079" w14:textId="77777777" w:rsidR="003446FE" w:rsidRPr="00D00036" w:rsidRDefault="003446FE" w:rsidP="00B3207C">
                  <w:pPr>
                    <w:framePr w:hSpace="141" w:wrap="around" w:vAnchor="text" w:hAnchor="text" w:x="-857" w:y="1"/>
                    <w:spacing w:after="100" w:afterAutospacing="1"/>
                    <w:suppressOverlap/>
                    <w:rPr>
                      <w:rFonts w:asciiTheme="minorHAnsi" w:hAnsiTheme="minorHAnsi" w:cstheme="minorHAnsi"/>
                      <w:sz w:val="16"/>
                      <w:szCs w:val="16"/>
                    </w:rPr>
                  </w:pPr>
                  <w:r w:rsidRPr="00D00036">
                    <w:rPr>
                      <w:rFonts w:asciiTheme="minorHAnsi" w:hAnsiTheme="minorHAnsi" w:cstheme="minorHAnsi"/>
                      <w:sz w:val="16"/>
                      <w:szCs w:val="16"/>
                    </w:rPr>
                    <w:t>M13 - Indennità a favore delle zone soggette a vincoli naturali o ad altri vincoli specifici (art. 31)</w:t>
                  </w:r>
                </w:p>
              </w:tc>
              <w:tc>
                <w:tcPr>
                  <w:tcW w:w="2783" w:type="pct"/>
                  <w:shd w:val="clear" w:color="auto" w:fill="FFFFFF"/>
                  <w:tcMar>
                    <w:top w:w="60" w:type="dxa"/>
                  </w:tcMar>
                </w:tcPr>
                <w:p w14:paraId="31AD16BD" w14:textId="77777777" w:rsidR="003446FE" w:rsidRPr="00D00036" w:rsidRDefault="003446FE" w:rsidP="00B3207C">
                  <w:pPr>
                    <w:framePr w:hSpace="141" w:wrap="around" w:vAnchor="text" w:hAnchor="text" w:x="-857" w:y="1"/>
                    <w:spacing w:after="100" w:afterAutospacing="1"/>
                    <w:suppressOverlap/>
                    <w:jc w:val="right"/>
                    <w:rPr>
                      <w:rFonts w:asciiTheme="minorHAnsi" w:hAnsiTheme="minorHAnsi" w:cstheme="minorHAnsi"/>
                      <w:sz w:val="16"/>
                      <w:szCs w:val="16"/>
                    </w:rPr>
                  </w:pPr>
                  <w:r w:rsidRPr="00D00036">
                    <w:rPr>
                      <w:rFonts w:asciiTheme="minorHAnsi" w:hAnsiTheme="minorHAnsi" w:cstheme="minorHAnsi"/>
                      <w:sz w:val="16"/>
                      <w:szCs w:val="16"/>
                    </w:rPr>
                    <w:t>0,00</w:t>
                  </w:r>
                </w:p>
              </w:tc>
            </w:tr>
            <w:tr w:rsidR="003446FE" w:rsidRPr="00D00036" w14:paraId="1594D81F" w14:textId="77777777" w:rsidTr="00BD4119">
              <w:tc>
                <w:tcPr>
                  <w:tcW w:w="2217" w:type="pct"/>
                  <w:shd w:val="clear" w:color="auto" w:fill="FFFFFF"/>
                  <w:tcMar>
                    <w:top w:w="60" w:type="dxa"/>
                  </w:tcMar>
                </w:tcPr>
                <w:p w14:paraId="45C4D015" w14:textId="77777777" w:rsidR="003446FE" w:rsidRPr="00D00036" w:rsidRDefault="003446FE" w:rsidP="00B3207C">
                  <w:pPr>
                    <w:framePr w:hSpace="141" w:wrap="around" w:vAnchor="text" w:hAnchor="text" w:x="-857" w:y="1"/>
                    <w:spacing w:after="100" w:afterAutospacing="1"/>
                    <w:suppressOverlap/>
                    <w:rPr>
                      <w:rFonts w:asciiTheme="minorHAnsi" w:hAnsiTheme="minorHAnsi" w:cstheme="minorHAnsi"/>
                      <w:sz w:val="16"/>
                      <w:szCs w:val="16"/>
                    </w:rPr>
                  </w:pPr>
                  <w:r w:rsidRPr="00D00036">
                    <w:rPr>
                      <w:rFonts w:asciiTheme="minorHAnsi" w:hAnsiTheme="minorHAnsi" w:cstheme="minorHAnsi"/>
                      <w:sz w:val="16"/>
                      <w:szCs w:val="16"/>
                    </w:rPr>
                    <w:t>M16 - Cooperazione (art. 35)</w:t>
                  </w:r>
                </w:p>
              </w:tc>
              <w:tc>
                <w:tcPr>
                  <w:tcW w:w="2783" w:type="pct"/>
                  <w:shd w:val="clear" w:color="auto" w:fill="FFFFFF"/>
                  <w:tcMar>
                    <w:top w:w="60" w:type="dxa"/>
                  </w:tcMar>
                </w:tcPr>
                <w:p w14:paraId="2A6F9431" w14:textId="77777777" w:rsidR="003446FE" w:rsidRPr="00D00036" w:rsidRDefault="003446FE" w:rsidP="00B3207C">
                  <w:pPr>
                    <w:framePr w:hSpace="141" w:wrap="around" w:vAnchor="text" w:hAnchor="text" w:x="-857" w:y="1"/>
                    <w:spacing w:after="100" w:afterAutospacing="1"/>
                    <w:suppressOverlap/>
                    <w:jc w:val="right"/>
                    <w:rPr>
                      <w:rFonts w:asciiTheme="minorHAnsi" w:hAnsiTheme="minorHAnsi" w:cstheme="minorHAnsi"/>
                      <w:sz w:val="16"/>
                      <w:szCs w:val="16"/>
                    </w:rPr>
                  </w:pPr>
                  <w:r w:rsidRPr="00D00036">
                    <w:rPr>
                      <w:rFonts w:asciiTheme="minorHAnsi" w:hAnsiTheme="minorHAnsi" w:cstheme="minorHAnsi"/>
                      <w:sz w:val="16"/>
                      <w:szCs w:val="16"/>
                    </w:rPr>
                    <w:t>1.650.000,00</w:t>
                  </w:r>
                </w:p>
              </w:tc>
            </w:tr>
            <w:tr w:rsidR="003446FE" w:rsidRPr="00D00036" w14:paraId="34B6B7EA" w14:textId="77777777" w:rsidTr="00BD4119">
              <w:tc>
                <w:tcPr>
                  <w:tcW w:w="2217" w:type="pct"/>
                  <w:shd w:val="clear" w:color="auto" w:fill="FFFFFF"/>
                  <w:tcMar>
                    <w:top w:w="60" w:type="dxa"/>
                  </w:tcMar>
                </w:tcPr>
                <w:p w14:paraId="0A33D935" w14:textId="77777777" w:rsidR="003446FE" w:rsidRPr="00D00036" w:rsidRDefault="003446FE" w:rsidP="00B3207C">
                  <w:pPr>
                    <w:framePr w:hSpace="141" w:wrap="around" w:vAnchor="text" w:hAnchor="text" w:x="-857" w:y="1"/>
                    <w:spacing w:after="100" w:afterAutospacing="1"/>
                    <w:suppressOverlap/>
                    <w:rPr>
                      <w:rFonts w:asciiTheme="minorHAnsi" w:hAnsiTheme="minorHAnsi" w:cstheme="minorHAnsi"/>
                      <w:sz w:val="16"/>
                      <w:szCs w:val="16"/>
                    </w:rPr>
                  </w:pPr>
                  <w:r w:rsidRPr="00D00036">
                    <w:rPr>
                      <w:rFonts w:asciiTheme="minorHAnsi" w:hAnsiTheme="minorHAnsi" w:cstheme="minorHAnsi"/>
                      <w:sz w:val="16"/>
                      <w:szCs w:val="16"/>
                    </w:rPr>
                    <w:t>M19 - Sostegno allo sviluppo locale LEADER - (SLTP - sviluppo locale di tipo partecipativo) [articolo 35 del regolamento (UE) n. 1303/2013]</w:t>
                  </w:r>
                </w:p>
              </w:tc>
              <w:tc>
                <w:tcPr>
                  <w:tcW w:w="2783" w:type="pct"/>
                  <w:shd w:val="clear" w:color="auto" w:fill="FFFFFF"/>
                  <w:tcMar>
                    <w:top w:w="60" w:type="dxa"/>
                  </w:tcMar>
                </w:tcPr>
                <w:p w14:paraId="022085B9" w14:textId="77777777" w:rsidR="003446FE" w:rsidRPr="00D00036" w:rsidRDefault="003446FE" w:rsidP="00B3207C">
                  <w:pPr>
                    <w:framePr w:hSpace="141" w:wrap="around" w:vAnchor="text" w:hAnchor="text" w:x="-857" w:y="1"/>
                    <w:spacing w:after="100" w:afterAutospacing="1"/>
                    <w:suppressOverlap/>
                    <w:jc w:val="right"/>
                    <w:rPr>
                      <w:rFonts w:asciiTheme="minorHAnsi" w:hAnsiTheme="minorHAnsi" w:cstheme="minorHAnsi"/>
                      <w:sz w:val="16"/>
                      <w:szCs w:val="16"/>
                    </w:rPr>
                  </w:pPr>
                  <w:r w:rsidRPr="00D00036">
                    <w:rPr>
                      <w:rFonts w:asciiTheme="minorHAnsi" w:hAnsiTheme="minorHAnsi" w:cstheme="minorHAnsi"/>
                      <w:sz w:val="16"/>
                      <w:szCs w:val="16"/>
                    </w:rPr>
                    <w:t>0,00</w:t>
                  </w:r>
                </w:p>
              </w:tc>
            </w:tr>
            <w:tr w:rsidR="003446FE" w:rsidRPr="00D00036" w14:paraId="32AB00B4" w14:textId="77777777" w:rsidTr="00BD4119">
              <w:tc>
                <w:tcPr>
                  <w:tcW w:w="2217" w:type="pct"/>
                  <w:shd w:val="clear" w:color="auto" w:fill="FFFFFF"/>
                  <w:tcMar>
                    <w:top w:w="60" w:type="dxa"/>
                  </w:tcMar>
                </w:tcPr>
                <w:p w14:paraId="60BA5E34" w14:textId="77777777" w:rsidR="003446FE" w:rsidRPr="00D00036" w:rsidRDefault="003446FE" w:rsidP="00B3207C">
                  <w:pPr>
                    <w:framePr w:hSpace="141" w:wrap="around" w:vAnchor="text" w:hAnchor="text" w:x="-857" w:y="1"/>
                    <w:spacing w:after="100" w:afterAutospacing="1"/>
                    <w:suppressOverlap/>
                    <w:rPr>
                      <w:rFonts w:asciiTheme="minorHAnsi" w:hAnsiTheme="minorHAnsi" w:cstheme="minorHAnsi"/>
                      <w:sz w:val="16"/>
                      <w:szCs w:val="16"/>
                    </w:rPr>
                  </w:pPr>
                  <w:r w:rsidRPr="00D00036">
                    <w:rPr>
                      <w:rFonts w:asciiTheme="minorHAnsi" w:hAnsiTheme="minorHAnsi" w:cstheme="minorHAnsi"/>
                      <w:sz w:val="16"/>
                      <w:szCs w:val="16"/>
                    </w:rPr>
                    <w:t>M20 - Assistenza tecnica negli Stati membri (articoli da 51 a 54)</w:t>
                  </w:r>
                </w:p>
              </w:tc>
              <w:tc>
                <w:tcPr>
                  <w:tcW w:w="2783" w:type="pct"/>
                  <w:shd w:val="clear" w:color="auto" w:fill="FFFFFF"/>
                  <w:tcMar>
                    <w:top w:w="60" w:type="dxa"/>
                  </w:tcMar>
                </w:tcPr>
                <w:p w14:paraId="68BCEBB2" w14:textId="77777777" w:rsidR="003446FE" w:rsidRPr="00D00036" w:rsidRDefault="003446FE" w:rsidP="00B3207C">
                  <w:pPr>
                    <w:framePr w:hSpace="141" w:wrap="around" w:vAnchor="text" w:hAnchor="text" w:x="-857" w:y="1"/>
                    <w:spacing w:after="100" w:afterAutospacing="1"/>
                    <w:suppressOverlap/>
                    <w:jc w:val="right"/>
                    <w:rPr>
                      <w:rFonts w:asciiTheme="minorHAnsi" w:hAnsiTheme="minorHAnsi" w:cstheme="minorHAnsi"/>
                      <w:sz w:val="16"/>
                      <w:szCs w:val="16"/>
                    </w:rPr>
                  </w:pPr>
                  <w:r w:rsidRPr="00D00036">
                    <w:rPr>
                      <w:rFonts w:asciiTheme="minorHAnsi" w:hAnsiTheme="minorHAnsi" w:cstheme="minorHAnsi"/>
                      <w:sz w:val="16"/>
                      <w:szCs w:val="16"/>
                    </w:rPr>
                    <w:t>0,00</w:t>
                  </w:r>
                </w:p>
              </w:tc>
            </w:tr>
            <w:tr w:rsidR="003446FE" w:rsidRPr="00D00036" w14:paraId="395938BA" w14:textId="77777777" w:rsidTr="00BD4119">
              <w:tc>
                <w:tcPr>
                  <w:tcW w:w="2217" w:type="pct"/>
                  <w:shd w:val="clear" w:color="auto" w:fill="C0C0C0"/>
                  <w:tcMar>
                    <w:top w:w="60" w:type="dxa"/>
                  </w:tcMar>
                </w:tcPr>
                <w:p w14:paraId="6546C896" w14:textId="77777777" w:rsidR="003446FE" w:rsidRPr="00D00036" w:rsidRDefault="003446FE" w:rsidP="00B3207C">
                  <w:pPr>
                    <w:framePr w:hSpace="141" w:wrap="around" w:vAnchor="text" w:hAnchor="text" w:x="-857" w:y="1"/>
                    <w:spacing w:after="100" w:afterAutospacing="1"/>
                    <w:suppressOverlap/>
                    <w:rPr>
                      <w:rFonts w:asciiTheme="minorHAnsi" w:hAnsiTheme="minorHAnsi" w:cstheme="minorHAnsi"/>
                      <w:sz w:val="16"/>
                      <w:szCs w:val="16"/>
                    </w:rPr>
                  </w:pPr>
                  <w:r w:rsidRPr="00D00036">
                    <w:rPr>
                      <w:rFonts w:asciiTheme="minorHAnsi" w:hAnsiTheme="minorHAnsi" w:cstheme="minorHAnsi"/>
                      <w:sz w:val="16"/>
                      <w:szCs w:val="16"/>
                    </w:rPr>
                    <w:t>Totale</w:t>
                  </w:r>
                </w:p>
              </w:tc>
              <w:tc>
                <w:tcPr>
                  <w:tcW w:w="2783" w:type="pct"/>
                  <w:shd w:val="clear" w:color="auto" w:fill="C0C0C0"/>
                  <w:tcMar>
                    <w:top w:w="60" w:type="dxa"/>
                  </w:tcMar>
                </w:tcPr>
                <w:p w14:paraId="678A2278" w14:textId="77777777" w:rsidR="003446FE" w:rsidRPr="00D00036" w:rsidRDefault="003446FE" w:rsidP="00B3207C">
                  <w:pPr>
                    <w:framePr w:hSpace="141" w:wrap="around" w:vAnchor="text" w:hAnchor="text" w:x="-857" w:y="1"/>
                    <w:spacing w:after="100" w:afterAutospacing="1"/>
                    <w:suppressOverlap/>
                    <w:jc w:val="right"/>
                    <w:rPr>
                      <w:rFonts w:asciiTheme="minorHAnsi" w:hAnsiTheme="minorHAnsi" w:cstheme="minorHAnsi"/>
                      <w:sz w:val="16"/>
                      <w:szCs w:val="16"/>
                    </w:rPr>
                  </w:pPr>
                  <w:r w:rsidRPr="00D00036">
                    <w:rPr>
                      <w:rFonts w:asciiTheme="minorHAnsi" w:hAnsiTheme="minorHAnsi" w:cstheme="minorHAnsi"/>
                      <w:sz w:val="16"/>
                      <w:szCs w:val="16"/>
                    </w:rPr>
                    <w:t>2.550.894,00</w:t>
                  </w:r>
                </w:p>
              </w:tc>
            </w:tr>
          </w:tbl>
          <w:p w14:paraId="2EE1F6F6" w14:textId="77777777" w:rsidR="003446FE" w:rsidRDefault="003446FE" w:rsidP="00E12390">
            <w:pPr>
              <w:jc w:val="both"/>
              <w:rPr>
                <w:rFonts w:asciiTheme="minorHAnsi" w:hAnsiTheme="minorHAnsi"/>
                <w:b/>
                <w:color w:val="auto"/>
                <w:sz w:val="20"/>
                <w:szCs w:val="20"/>
                <w:shd w:val="clear" w:color="auto" w:fill="FFFFFF"/>
              </w:rPr>
            </w:pPr>
          </w:p>
          <w:p w14:paraId="2DCC0878" w14:textId="77777777" w:rsidR="003446FE" w:rsidRDefault="003446FE" w:rsidP="00E12390">
            <w:pPr>
              <w:jc w:val="both"/>
              <w:rPr>
                <w:rFonts w:asciiTheme="minorHAnsi" w:hAnsiTheme="minorHAnsi"/>
                <w:b/>
                <w:color w:val="auto"/>
                <w:sz w:val="20"/>
                <w:szCs w:val="20"/>
                <w:shd w:val="clear" w:color="auto" w:fill="FFFFFF"/>
              </w:rPr>
            </w:pPr>
          </w:p>
          <w:p w14:paraId="076DB9EA" w14:textId="77777777" w:rsidR="00326EBC" w:rsidRDefault="00DC18E3" w:rsidP="00E12390">
            <w:pPr>
              <w:jc w:val="both"/>
              <w:rPr>
                <w:rFonts w:asciiTheme="minorHAnsi" w:hAnsiTheme="minorHAnsi"/>
                <w:b/>
                <w:color w:val="auto"/>
                <w:sz w:val="20"/>
                <w:szCs w:val="20"/>
                <w:shd w:val="clear" w:color="auto" w:fill="FFFFFF"/>
              </w:rPr>
            </w:pPr>
            <w:r>
              <w:rPr>
                <w:rFonts w:asciiTheme="minorHAnsi" w:hAnsiTheme="minorHAnsi"/>
                <w:b/>
                <w:color w:val="auto"/>
                <w:sz w:val="20"/>
                <w:szCs w:val="20"/>
                <w:shd w:val="clear" w:color="auto" w:fill="FFFFFF"/>
              </w:rPr>
              <w:t xml:space="preserve">paragrafo </w:t>
            </w:r>
            <w:r w:rsidR="00153B18">
              <w:rPr>
                <w:rFonts w:asciiTheme="minorHAnsi" w:hAnsiTheme="minorHAnsi"/>
                <w:b/>
                <w:color w:val="auto"/>
                <w:sz w:val="20"/>
                <w:szCs w:val="20"/>
                <w:shd w:val="clear" w:color="auto" w:fill="FFFFFF"/>
              </w:rPr>
              <w:t xml:space="preserve">12.4 </w:t>
            </w:r>
            <w:r w:rsidR="00326EBC" w:rsidRPr="007F3E52">
              <w:rPr>
                <w:rFonts w:asciiTheme="minorHAnsi" w:hAnsiTheme="minorHAnsi"/>
                <w:b/>
                <w:color w:val="auto"/>
                <w:sz w:val="20"/>
                <w:szCs w:val="20"/>
                <w:shd w:val="clear" w:color="auto" w:fill="FFFFFF"/>
              </w:rPr>
              <w:t>M04 - Investimenti in immobilizzazioni materiali (art. 17)</w:t>
            </w:r>
          </w:p>
          <w:p w14:paraId="17820314" w14:textId="77777777" w:rsidR="00BD4119" w:rsidRDefault="00BD4119" w:rsidP="00E12390">
            <w:pPr>
              <w:jc w:val="both"/>
              <w:rPr>
                <w:rFonts w:asciiTheme="minorHAnsi" w:hAnsiTheme="minorHAnsi"/>
                <w:b/>
                <w:color w:val="auto"/>
                <w:sz w:val="20"/>
                <w:szCs w:val="20"/>
                <w:shd w:val="clear" w:color="auto" w:fill="FFFFFF"/>
              </w:rPr>
            </w:pPr>
            <w:r w:rsidRPr="00BD4119">
              <w:rPr>
                <w:rFonts w:asciiTheme="minorHAnsi" w:hAnsiTheme="minorHAnsi"/>
                <w:b/>
                <w:color w:val="auto"/>
                <w:sz w:val="20"/>
                <w:szCs w:val="20"/>
                <w:shd w:val="clear" w:color="auto" w:fill="FFFFFF"/>
              </w:rPr>
              <w:t>Indicazione di conformità delle operazioni alle condizioni previste dal regolamento (UE) n. 1305/2013</w:t>
            </w:r>
          </w:p>
          <w:p w14:paraId="71BCCB2A" w14:textId="77777777" w:rsidR="00BD4119" w:rsidRPr="00BD4119" w:rsidRDefault="00BD4119" w:rsidP="00BD4119">
            <w:pPr>
              <w:jc w:val="both"/>
              <w:rPr>
                <w:rFonts w:asciiTheme="minorHAnsi" w:hAnsiTheme="minorHAnsi"/>
                <w:color w:val="auto"/>
                <w:sz w:val="20"/>
                <w:szCs w:val="20"/>
                <w:shd w:val="clear" w:color="auto" w:fill="FFFFFF"/>
              </w:rPr>
            </w:pPr>
            <w:r w:rsidRPr="00BD4119">
              <w:rPr>
                <w:rFonts w:asciiTheme="minorHAnsi" w:hAnsiTheme="minorHAnsi"/>
                <w:color w:val="auto"/>
                <w:sz w:val="20"/>
                <w:szCs w:val="20"/>
                <w:shd w:val="clear" w:color="auto" w:fill="FFFFFF"/>
              </w:rPr>
              <w:t>Si integra la dotazione finanziaria della Misura con risorse aggiuntive regionali, per poter modulare il numero domande finanziate in relazione alle economie registrate nel passaggio dalla progettazione alla realizzazione degli investimenti, assicurando così il necessario margine di flessibilità che consenta l’utilizzo di tutta la dotazione finanziaria. Le risorse aggiuntive saranno utilizzate nell’ambito dell’Operazione 4.1.01 “Incentivi per investimenti per la redditività, competitività e sostenibilità delle aziende agricole”.</w:t>
            </w:r>
          </w:p>
          <w:p w14:paraId="72CAED3C" w14:textId="77777777" w:rsidR="00BD4119" w:rsidRPr="00BD4119" w:rsidRDefault="00BD4119" w:rsidP="00BD4119">
            <w:pPr>
              <w:jc w:val="both"/>
              <w:rPr>
                <w:rFonts w:asciiTheme="minorHAnsi" w:hAnsiTheme="minorHAnsi"/>
                <w:color w:val="auto"/>
                <w:sz w:val="20"/>
                <w:szCs w:val="20"/>
                <w:shd w:val="clear" w:color="auto" w:fill="FFFFFF"/>
              </w:rPr>
            </w:pPr>
            <w:r w:rsidRPr="00BD4119">
              <w:rPr>
                <w:rFonts w:asciiTheme="minorHAnsi" w:hAnsiTheme="minorHAnsi"/>
                <w:color w:val="auto"/>
                <w:sz w:val="20"/>
                <w:szCs w:val="20"/>
                <w:shd w:val="clear" w:color="auto" w:fill="FFFFFF"/>
              </w:rPr>
              <w:t xml:space="preserve">Non si prevede di utilizzare le risorse integrative attraverso bandi </w:t>
            </w:r>
            <w:r w:rsidRPr="00BD4119">
              <w:rPr>
                <w:rFonts w:asciiTheme="minorHAnsi" w:hAnsiTheme="minorHAnsi"/>
                <w:color w:val="auto"/>
                <w:sz w:val="20"/>
                <w:szCs w:val="20"/>
                <w:shd w:val="clear" w:color="auto" w:fill="FFFFFF"/>
              </w:rPr>
              <w:lastRenderedPageBreak/>
              <w:t>specifici, ma solo nell’ambito dei bandi ordinari dell’Operazione 4.1.01 e quindi in totale conformità con le condizioni previste dal Regolamento n. 1305/2013 e dal Programma di Sviluppo Rurale 2014 – 2020 della Lombardia.</w:t>
            </w:r>
          </w:p>
          <w:p w14:paraId="6DFC150C" w14:textId="77777777" w:rsidR="00BD4119" w:rsidRPr="00BD4119" w:rsidRDefault="00BD4119" w:rsidP="00BD4119">
            <w:pPr>
              <w:jc w:val="both"/>
              <w:rPr>
                <w:rFonts w:asciiTheme="minorHAnsi" w:hAnsiTheme="minorHAnsi"/>
                <w:color w:val="auto"/>
                <w:sz w:val="20"/>
                <w:szCs w:val="20"/>
                <w:shd w:val="clear" w:color="auto" w:fill="FFFFFF"/>
              </w:rPr>
            </w:pPr>
            <w:r w:rsidRPr="00BD4119">
              <w:rPr>
                <w:rFonts w:asciiTheme="minorHAnsi" w:hAnsiTheme="minorHAnsi"/>
                <w:color w:val="auto"/>
                <w:sz w:val="20"/>
                <w:szCs w:val="20"/>
                <w:shd w:val="clear" w:color="auto" w:fill="FFFFFF"/>
              </w:rPr>
              <w:t>Le risorse finanziarie aggiuntive sull’Operazione 4.1.01 ammontano a 9.000.000 di euro.</w:t>
            </w:r>
          </w:p>
          <w:p w14:paraId="7AC0701B" w14:textId="77777777" w:rsidR="00BD4119" w:rsidRPr="00BD4119" w:rsidRDefault="00BD4119" w:rsidP="00E12390">
            <w:pPr>
              <w:jc w:val="both"/>
              <w:rPr>
                <w:rFonts w:asciiTheme="minorHAnsi" w:hAnsiTheme="minorHAnsi"/>
                <w:color w:val="auto"/>
                <w:sz w:val="20"/>
                <w:szCs w:val="20"/>
                <w:shd w:val="clear" w:color="auto" w:fill="FFFFFF"/>
              </w:rPr>
            </w:pPr>
          </w:p>
          <w:p w14:paraId="4399BAAA" w14:textId="77777777" w:rsidR="00DC18E3" w:rsidRDefault="00BD4119" w:rsidP="00BD4119">
            <w:pPr>
              <w:jc w:val="both"/>
              <w:rPr>
                <w:rFonts w:asciiTheme="minorHAnsi" w:hAnsiTheme="minorHAnsi"/>
                <w:b/>
                <w:color w:val="auto"/>
                <w:sz w:val="20"/>
                <w:szCs w:val="20"/>
                <w:shd w:val="clear" w:color="auto" w:fill="FFFFFF"/>
              </w:rPr>
            </w:pPr>
            <w:r>
              <w:rPr>
                <w:rFonts w:asciiTheme="minorHAnsi" w:hAnsiTheme="minorHAnsi"/>
                <w:b/>
                <w:color w:val="auto"/>
                <w:sz w:val="20"/>
                <w:szCs w:val="20"/>
                <w:shd w:val="clear" w:color="auto" w:fill="FFFFFF"/>
              </w:rPr>
              <w:t xml:space="preserve">paragrafo 12.13 </w:t>
            </w:r>
            <w:r w:rsidR="00DC18E3">
              <w:rPr>
                <w:rFonts w:asciiTheme="minorHAnsi" w:hAnsiTheme="minorHAnsi"/>
                <w:b/>
                <w:color w:val="auto"/>
                <w:sz w:val="20"/>
                <w:szCs w:val="20"/>
                <w:shd w:val="clear" w:color="auto" w:fill="FFFFFF"/>
              </w:rPr>
              <w:t xml:space="preserve">M16 - </w:t>
            </w:r>
            <w:r w:rsidR="00DC18E3" w:rsidRPr="00DC18E3">
              <w:rPr>
                <w:rFonts w:asciiTheme="minorHAnsi" w:hAnsiTheme="minorHAnsi"/>
                <w:b/>
                <w:color w:val="auto"/>
                <w:sz w:val="20"/>
                <w:szCs w:val="20"/>
                <w:shd w:val="clear" w:color="auto" w:fill="FFFFFF"/>
              </w:rPr>
              <w:t>Cooperazione (art. 35)</w:t>
            </w:r>
          </w:p>
          <w:p w14:paraId="7B9AD329" w14:textId="77777777" w:rsidR="00BD4119" w:rsidRDefault="00BD4119" w:rsidP="00BD4119">
            <w:pPr>
              <w:jc w:val="both"/>
              <w:rPr>
                <w:rFonts w:asciiTheme="minorHAnsi" w:hAnsiTheme="minorHAnsi"/>
                <w:b/>
                <w:color w:val="auto"/>
                <w:sz w:val="20"/>
                <w:szCs w:val="20"/>
                <w:shd w:val="clear" w:color="auto" w:fill="FFFFFF"/>
              </w:rPr>
            </w:pPr>
            <w:r w:rsidRPr="00BD4119">
              <w:rPr>
                <w:rFonts w:asciiTheme="minorHAnsi" w:hAnsiTheme="minorHAnsi"/>
                <w:b/>
                <w:color w:val="auto"/>
                <w:sz w:val="20"/>
                <w:szCs w:val="20"/>
                <w:shd w:val="clear" w:color="auto" w:fill="FFFFFF"/>
              </w:rPr>
              <w:t>Indicazione di conformità delle operazioni alle condizioni previste dal regolamento (UE) n. 1305/2013</w:t>
            </w:r>
          </w:p>
          <w:p w14:paraId="7DA3D011" w14:textId="77777777" w:rsidR="00BD4119" w:rsidRPr="00BD4119" w:rsidRDefault="00BD4119" w:rsidP="00BD4119">
            <w:pPr>
              <w:jc w:val="both"/>
              <w:rPr>
                <w:rFonts w:asciiTheme="minorHAnsi" w:hAnsiTheme="minorHAnsi"/>
                <w:color w:val="auto"/>
                <w:sz w:val="20"/>
                <w:szCs w:val="20"/>
                <w:shd w:val="clear" w:color="auto" w:fill="FFFFFF"/>
              </w:rPr>
            </w:pPr>
            <w:r w:rsidRPr="00BD4119">
              <w:rPr>
                <w:rFonts w:asciiTheme="minorHAnsi" w:hAnsiTheme="minorHAnsi"/>
                <w:color w:val="auto"/>
                <w:sz w:val="20"/>
                <w:szCs w:val="20"/>
                <w:shd w:val="clear" w:color="auto" w:fill="FFFFFF"/>
              </w:rPr>
              <w:t>Si prevede una dotazione aggiuntiva a seguito del buon andamento della misura 16 con particolare riferimento ai progetti di innovazione (PEI), in quanto si intende finanziare un numero maggiore di progetti e ridurre i rischi che eventuali economie possano portare prima della chiusura del Programma al non totale assorbimento delle risorse.</w:t>
            </w:r>
          </w:p>
          <w:p w14:paraId="107205E7" w14:textId="77777777" w:rsidR="00BD4119" w:rsidRPr="00BD4119" w:rsidRDefault="00BD4119" w:rsidP="00BD4119">
            <w:pPr>
              <w:jc w:val="both"/>
              <w:rPr>
                <w:rFonts w:asciiTheme="minorHAnsi" w:hAnsiTheme="minorHAnsi"/>
                <w:color w:val="auto"/>
                <w:sz w:val="20"/>
                <w:szCs w:val="20"/>
                <w:shd w:val="clear" w:color="auto" w:fill="FFFFFF"/>
              </w:rPr>
            </w:pPr>
            <w:r w:rsidRPr="00BD4119">
              <w:rPr>
                <w:rFonts w:asciiTheme="minorHAnsi" w:hAnsiTheme="minorHAnsi"/>
                <w:color w:val="auto"/>
                <w:sz w:val="20"/>
                <w:szCs w:val="20"/>
                <w:shd w:val="clear" w:color="auto" w:fill="FFFFFF"/>
              </w:rPr>
              <w:t>Non si prevede di utilizzare le risorse integrative attraverso bandi specifici, ma solo nell’ambito dei bandi ordinari dell’Operazione 16.1.01 e quindi in totale conformità con le condizioni previste dal Regolamento n. 1305/2013 e dal Programma di Sviluppo Rurale 2014 – 2020 della Lombardia.</w:t>
            </w:r>
          </w:p>
          <w:p w14:paraId="01592DC9" w14:textId="77777777" w:rsidR="00153B18" w:rsidRPr="007F3E52" w:rsidRDefault="00BD4119" w:rsidP="00BD4119">
            <w:pPr>
              <w:jc w:val="both"/>
              <w:rPr>
                <w:rFonts w:asciiTheme="minorHAnsi" w:hAnsiTheme="minorHAnsi"/>
                <w:color w:val="auto"/>
                <w:sz w:val="20"/>
                <w:szCs w:val="20"/>
                <w:shd w:val="clear" w:color="auto" w:fill="FFFFFF"/>
              </w:rPr>
            </w:pPr>
            <w:r w:rsidRPr="00BD4119">
              <w:rPr>
                <w:rFonts w:asciiTheme="minorHAnsi" w:hAnsiTheme="minorHAnsi"/>
                <w:color w:val="auto"/>
                <w:sz w:val="20"/>
                <w:szCs w:val="20"/>
                <w:shd w:val="clear" w:color="auto" w:fill="FFFFFF"/>
              </w:rPr>
              <w:t>Le risorse integrative regionali messe a disposizione ammontano a 1.650.000 euro ed andranno a finanziare esclusivamente interventi relativi ad attività agricole di cui all’allegato I del Trattato.</w:t>
            </w:r>
          </w:p>
        </w:tc>
        <w:tc>
          <w:tcPr>
            <w:tcW w:w="4681" w:type="dxa"/>
            <w:tcBorders>
              <w:top w:val="single" w:sz="2" w:space="0" w:color="000001"/>
              <w:left w:val="single" w:sz="2" w:space="0" w:color="000001"/>
              <w:bottom w:val="single" w:sz="2" w:space="0" w:color="000001"/>
              <w:right w:val="single" w:sz="2" w:space="0" w:color="000001"/>
            </w:tcBorders>
            <w:shd w:val="clear" w:color="auto" w:fill="FFFFFF"/>
          </w:tcPr>
          <w:p w14:paraId="553E3AB4"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lastRenderedPageBreak/>
              <w:t>La modifica proposta è finalizzata ad incrementare con risorse aggiuntive regionali la dotazione finanziaria della misura 4  Investimenti in immobilizzazioni materiali , per gestire in modo flessibile le minori spese e le economie e garantire l’utilizzo di tutta la dotazione finanziaria  e la dotazione finanziaria della Misura 16, per consentire il finanziamento di un numero maggiore di progetti di innovazione promossi da gruppi PEI e garantire l’utilizzo della dotazione a fronte di eventuali economie.</w:t>
            </w:r>
          </w:p>
          <w:p w14:paraId="4F5EFE8E"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Avvicinandosi la conclusione del periodo di programmazione 2014 – 2020, si ritiene necessario prevedere finanziamenti integrativi regionali a valere su alcune Operazioni a carattere strutturale con l’obiettivo di assicurare il completo utilizzo delle risorse.</w:t>
            </w:r>
          </w:p>
          <w:p w14:paraId="0A5879DC"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Le Misure/Operazioni strutturali sono storicamente caratterizzate da economie di spesa dalla fase di progettazione alla realizzazione degli investimenti e quindi è opportuno disporre di una dotazione finanziaria integrativa (il cosiddetto overbooking) per assicurare, attraverso il finanziamento di un maggior numero di domande, la liquidazione di tutte le risorse a disposizione e sopperire agli effetti prodotti dalle minori spese e dalle economie sopra illustrati.</w:t>
            </w:r>
          </w:p>
          <w:p w14:paraId="7F47B274"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 xml:space="preserve">Le risorse integrative non saranno utilizzate attraverso </w:t>
            </w:r>
            <w:r w:rsidRPr="00DB7146">
              <w:rPr>
                <w:rFonts w:asciiTheme="minorHAnsi" w:hAnsiTheme="minorHAnsi"/>
                <w:color w:val="auto"/>
                <w:sz w:val="20"/>
                <w:szCs w:val="20"/>
                <w:shd w:val="clear" w:color="auto" w:fill="FFFFFF"/>
              </w:rPr>
              <w:lastRenderedPageBreak/>
              <w:t>bandi specifici ma esclusivamente nell’ambito dei bandi ordinari e quindi è garantito il loro eventuale impiego in totale conformità con le condizioni previste dal Regolamento n. 1305/2013 e dal Programma di Sviluppo Rurale 2014 – 2020 della Lombardia.</w:t>
            </w:r>
          </w:p>
          <w:p w14:paraId="7C95FB8E"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Si propone di appostare parte delle risorse aggiuntive sulla Misura 4, con riferimento all’Operazione 4.1.01 “Incentivi per investimenti per la redditività, competitività e sostenibilità delle aziende agricole” (F.A. 2A), che presenta un alto livello di adesione delle imprese.</w:t>
            </w:r>
          </w:p>
          <w:p w14:paraId="20E07AB0"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Le risorse integrative regionali messe a disposizione ammontano a 9.000.000 euro.</w:t>
            </w:r>
          </w:p>
          <w:p w14:paraId="5ECF6E67"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L’aumento di risorse non ha effetti sull’indicatore N. di aziende beneficiarie del sostegno agli investimenti nelle aziende agricole in quanto il valore degli investimenti e dei contributi richiesti dalle imprese è in continua crescita e l’aumento delle risorse ha lo scopo di andare a garantire il conseguimento dei target già previsti anche a fronte di un maggiore contributo medio richiesto dai beneficiari.</w:t>
            </w:r>
          </w:p>
          <w:p w14:paraId="56CB55A9"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Inoltre, a seguito del buon andamento della misura 16 con particolare riferimento ai progetti di innovazione (PEI), si intende aumentare la dotazione della misura collegata alla F.A. 2A per consentire di finanziare i progetti pervenuti a seguito dei bandi pubblicati, che hanno evidenziato un costo significativamente superiore alle attese (circa 700.000 Euro in media a fronte di una previsione di circa 400.000 / 500.000 Euro, utilizzata anche per la stima del target relativo al numero di PEI finanziati), oltre che per ridurre i rischi che eventuali economie possano portare al non totale assorbimento delle risorse.</w:t>
            </w:r>
          </w:p>
          <w:p w14:paraId="51A211FB"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 xml:space="preserve">Si pone in evidenza il fatto che nell’ambito della modifica che ha portato all’approvazione della versione 5.1 del PSR l’operazione 16.1.01 era passata da un sostegno erogato in relazione ai costi di cooperazione, utilizzando le risorse delle altre misure del Programma per finanziare i progetti </w:t>
            </w:r>
            <w:r w:rsidRPr="00DB7146">
              <w:rPr>
                <w:rFonts w:asciiTheme="minorHAnsi" w:hAnsiTheme="minorHAnsi"/>
                <w:color w:val="auto"/>
                <w:sz w:val="20"/>
                <w:szCs w:val="20"/>
                <w:shd w:val="clear" w:color="auto" w:fill="FFFFFF"/>
              </w:rPr>
              <w:lastRenderedPageBreak/>
              <w:t>per le seguenti operazioni, ad un sostegno erogato in forma di "importo globale", come definito nell'art. 35(6) del Reg. UE n. 1305/2013. Tale modifica non era stata resa esplicita in fase di descrizione delle modifiche ed andava giustificare, tra l’altro, l’aumento delle risorse attribuite all’operazione.</w:t>
            </w:r>
          </w:p>
          <w:p w14:paraId="51989F00" w14:textId="77777777" w:rsidR="00326EBC"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Le risorse integrative regionali messe a disposizione ammontano a 1.650.000 euro ed andranno a finanziare esclusivamente interventi relativi ad attività agricole di cui all’allegato I del Trattato.</w:t>
            </w:r>
          </w:p>
        </w:tc>
        <w:tc>
          <w:tcPr>
            <w:tcW w:w="1704" w:type="dxa"/>
            <w:tcBorders>
              <w:top w:val="single" w:sz="2" w:space="0" w:color="000001"/>
              <w:left w:val="single" w:sz="2" w:space="0" w:color="000001"/>
              <w:bottom w:val="single" w:sz="2" w:space="0" w:color="000001"/>
              <w:right w:val="single" w:sz="2" w:space="0" w:color="000001"/>
            </w:tcBorders>
            <w:shd w:val="clear" w:color="auto" w:fill="FFFFFF"/>
          </w:tcPr>
          <w:p w14:paraId="6718B484" w14:textId="77777777" w:rsidR="00326EBC"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lastRenderedPageBreak/>
              <w:t>La previsione di risorse integrative regionali consentirà di garantire il finanziamento delle domande pervenute nell'ambito delle operazione 4.1.01 e 16.1.01, anche a fronte di un maggior importo medio del contributo richiesto.</w:t>
            </w:r>
          </w:p>
        </w:tc>
        <w:tc>
          <w:tcPr>
            <w:tcW w:w="1672" w:type="dxa"/>
            <w:tcBorders>
              <w:top w:val="single" w:sz="2" w:space="0" w:color="000001"/>
              <w:left w:val="single" w:sz="2" w:space="0" w:color="000001"/>
              <w:bottom w:val="single" w:sz="2" w:space="0" w:color="000001"/>
              <w:right w:val="single" w:sz="2" w:space="0" w:color="000001"/>
            </w:tcBorders>
            <w:shd w:val="clear" w:color="auto" w:fill="FFFFFF"/>
          </w:tcPr>
          <w:p w14:paraId="39D20CE9"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Vengono modificati i seguenti indicatori nel par.  11.1.1.1 (FA 1A):</w:t>
            </w:r>
          </w:p>
          <w:p w14:paraId="4A462222"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Spesa pubblica totale in EUR (da 16.1 a 16.9)</w:t>
            </w:r>
          </w:p>
          <w:p w14:paraId="7F9843DF"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conseguentemente si modifica l'indicatore T1</w:t>
            </w:r>
          </w:p>
          <w:p w14:paraId="0F70B3D5"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Vengono modificati i seguenti indicatori nel par. 11.1.1.2.(F.A. 1B):</w:t>
            </w:r>
          </w:p>
          <w:p w14:paraId="71AFA28E"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Numero dei gruppi operativi del PEI da finanziare (costituzione e gestione)</w:t>
            </w:r>
          </w:p>
          <w:p w14:paraId="79FC19EB"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Vengono modificati i seguenti indicatori nel par.  11.1.2.1. (F.A. 2A)</w:t>
            </w:r>
          </w:p>
          <w:p w14:paraId="577B41C8"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 xml:space="preserve">Totale investimenti </w:t>
            </w:r>
            <w:r w:rsidRPr="00DB7146">
              <w:rPr>
                <w:rFonts w:asciiTheme="minorHAnsi" w:hAnsiTheme="minorHAnsi"/>
                <w:color w:val="auto"/>
                <w:sz w:val="20"/>
                <w:szCs w:val="20"/>
                <w:shd w:val="clear" w:color="auto" w:fill="FFFFFF"/>
              </w:rPr>
              <w:lastRenderedPageBreak/>
              <w:t>(pubblici e privati)</w:t>
            </w:r>
          </w:p>
          <w:p w14:paraId="2E9787C6"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 xml:space="preserve">Spesa pubblica totale in EUR (riferito sia a </w:t>
            </w:r>
            <w:proofErr w:type="spellStart"/>
            <w:proofErr w:type="gramStart"/>
            <w:r w:rsidRPr="00DB7146">
              <w:rPr>
                <w:rFonts w:asciiTheme="minorHAnsi" w:hAnsiTheme="minorHAnsi"/>
                <w:color w:val="auto"/>
                <w:sz w:val="20"/>
                <w:szCs w:val="20"/>
                <w:shd w:val="clear" w:color="auto" w:fill="FFFFFF"/>
              </w:rPr>
              <w:t>mis</w:t>
            </w:r>
            <w:proofErr w:type="spellEnd"/>
            <w:r w:rsidRPr="00DB7146">
              <w:rPr>
                <w:rFonts w:asciiTheme="minorHAnsi" w:hAnsiTheme="minorHAnsi"/>
                <w:color w:val="auto"/>
                <w:sz w:val="20"/>
                <w:szCs w:val="20"/>
                <w:shd w:val="clear" w:color="auto" w:fill="FFFFFF"/>
              </w:rPr>
              <w:t>..</w:t>
            </w:r>
            <w:proofErr w:type="gramEnd"/>
            <w:r w:rsidRPr="00DB7146">
              <w:rPr>
                <w:rFonts w:asciiTheme="minorHAnsi" w:hAnsiTheme="minorHAnsi"/>
                <w:color w:val="auto"/>
                <w:sz w:val="20"/>
                <w:szCs w:val="20"/>
                <w:shd w:val="clear" w:color="auto" w:fill="FFFFFF"/>
              </w:rPr>
              <w:t xml:space="preserve"> 4 che </w:t>
            </w:r>
            <w:proofErr w:type="spellStart"/>
            <w:r w:rsidRPr="00DB7146">
              <w:rPr>
                <w:rFonts w:asciiTheme="minorHAnsi" w:hAnsiTheme="minorHAnsi"/>
                <w:color w:val="auto"/>
                <w:sz w:val="20"/>
                <w:szCs w:val="20"/>
                <w:shd w:val="clear" w:color="auto" w:fill="FFFFFF"/>
              </w:rPr>
              <w:t>mis</w:t>
            </w:r>
            <w:proofErr w:type="spellEnd"/>
            <w:r w:rsidRPr="00DB7146">
              <w:rPr>
                <w:rFonts w:asciiTheme="minorHAnsi" w:hAnsiTheme="minorHAnsi"/>
                <w:color w:val="auto"/>
                <w:sz w:val="20"/>
                <w:szCs w:val="20"/>
                <w:shd w:val="clear" w:color="auto" w:fill="FFFFFF"/>
              </w:rPr>
              <w:t>. 16)</w:t>
            </w:r>
          </w:p>
          <w:p w14:paraId="064082E9" w14:textId="77777777" w:rsidR="00DB7146" w:rsidRPr="00DB7146" w:rsidRDefault="00DB7146" w:rsidP="009A105B">
            <w:pPr>
              <w:jc w:val="both"/>
              <w:rPr>
                <w:rFonts w:asciiTheme="minorHAnsi" w:hAnsiTheme="minorHAnsi"/>
                <w:color w:val="auto"/>
                <w:sz w:val="20"/>
                <w:szCs w:val="20"/>
                <w:shd w:val="clear" w:color="auto" w:fill="FFFFFF"/>
              </w:rPr>
            </w:pPr>
            <w:r w:rsidRPr="00DB7146">
              <w:rPr>
                <w:rFonts w:asciiTheme="minorHAnsi" w:hAnsiTheme="minorHAnsi"/>
                <w:color w:val="auto"/>
                <w:sz w:val="20"/>
                <w:szCs w:val="20"/>
                <w:shd w:val="clear" w:color="auto" w:fill="FFFFFF"/>
              </w:rPr>
              <w:t xml:space="preserve">Le modifiche degli indicatori hanno ricadute sul capitolo </w:t>
            </w:r>
            <w:proofErr w:type="gramStart"/>
            <w:r w:rsidRPr="00DB7146">
              <w:rPr>
                <w:rFonts w:asciiTheme="minorHAnsi" w:hAnsiTheme="minorHAnsi"/>
                <w:color w:val="auto"/>
                <w:sz w:val="20"/>
                <w:szCs w:val="20"/>
                <w:shd w:val="clear" w:color="auto" w:fill="FFFFFF"/>
              </w:rPr>
              <w:t>7  “</w:t>
            </w:r>
            <w:proofErr w:type="gramEnd"/>
            <w:r w:rsidRPr="00DB7146">
              <w:rPr>
                <w:rFonts w:asciiTheme="minorHAnsi" w:hAnsiTheme="minorHAnsi"/>
                <w:color w:val="auto"/>
                <w:sz w:val="20"/>
                <w:szCs w:val="20"/>
                <w:shd w:val="clear" w:color="auto" w:fill="FFFFFF"/>
              </w:rPr>
              <w:t>Descrizione del quadro di riferimento dei risultati” rispetto al valore obiettivo 2023 ed all’aggiustamento top up che derivano dalle modifiche apportati al cap. 11.</w:t>
            </w:r>
          </w:p>
          <w:p w14:paraId="73EADF29" w14:textId="77777777" w:rsidR="00030400" w:rsidRPr="00DC18E3" w:rsidRDefault="00DB7146" w:rsidP="009A105B">
            <w:pPr>
              <w:pStyle w:val="Paragrafoelenco"/>
              <w:ind w:left="0"/>
              <w:jc w:val="both"/>
              <w:rPr>
                <w:sz w:val="20"/>
                <w:szCs w:val="20"/>
                <w:shd w:val="clear" w:color="auto" w:fill="FFFFFF"/>
              </w:rPr>
            </w:pPr>
            <w:r w:rsidRPr="00DB7146">
              <w:rPr>
                <w:sz w:val="20"/>
                <w:szCs w:val="20"/>
                <w:shd w:val="clear" w:color="auto" w:fill="FFFFFF"/>
              </w:rPr>
              <w:t xml:space="preserve">L’aumento della dotazione dell’operazione 4.1.01 non comporta l’aumento del numero di aziende beneficiarie in quanto effettuato per garantire il conseguimento degli obiettivi anche a fronte del continuo aumento del valore degli investimenti medi e dei contributi </w:t>
            </w:r>
            <w:r w:rsidRPr="00DB7146">
              <w:rPr>
                <w:sz w:val="20"/>
                <w:szCs w:val="20"/>
                <w:shd w:val="clear" w:color="auto" w:fill="FFFFFF"/>
              </w:rPr>
              <w:lastRenderedPageBreak/>
              <w:t>richiesti per singolo intervento. Già con la modifica 5.1 era stato messo in luce come rispetto al PSR 2007-2013 l’investimento medio fosse passato da circa 250.000 Euro a circa 550.000 Euro. Poiché i bandi dell’attuale programmazione evidenziano un valore degli investimenti medi in costante aumento l’aumento della dotazione consentirà di coprire i maggiori importi di contributi richiesti, ma non è di importo tale da garantire il finanziamento di un numero maggiore di aziende</w:t>
            </w:r>
          </w:p>
        </w:tc>
        <w:tc>
          <w:tcPr>
            <w:tcW w:w="1446" w:type="dxa"/>
            <w:tcBorders>
              <w:top w:val="single" w:sz="2" w:space="0" w:color="000001"/>
              <w:left w:val="single" w:sz="2" w:space="0" w:color="000001"/>
              <w:bottom w:val="single" w:sz="2" w:space="0" w:color="000001"/>
              <w:right w:val="single" w:sz="2" w:space="0" w:color="000001"/>
            </w:tcBorders>
            <w:shd w:val="clear" w:color="auto" w:fill="FFFFFF"/>
          </w:tcPr>
          <w:p w14:paraId="148022C8" w14:textId="77777777" w:rsidR="00326EBC" w:rsidRPr="005D2643" w:rsidRDefault="00326EBC" w:rsidP="009A105B">
            <w:pPr>
              <w:jc w:val="both"/>
              <w:rPr>
                <w:rFonts w:asciiTheme="minorHAnsi" w:hAnsiTheme="minorHAnsi"/>
                <w:color w:val="auto"/>
                <w:sz w:val="20"/>
                <w:szCs w:val="20"/>
              </w:rPr>
            </w:pPr>
            <w:r>
              <w:rPr>
                <w:rFonts w:asciiTheme="minorHAnsi" w:hAnsiTheme="minorHAnsi"/>
                <w:color w:val="auto"/>
                <w:sz w:val="20"/>
                <w:szCs w:val="20"/>
              </w:rPr>
              <w:lastRenderedPageBreak/>
              <w:t>Non si prevedono effetti sull’Accordo di Partenariato.</w:t>
            </w:r>
          </w:p>
        </w:tc>
      </w:tr>
      <w:tr w:rsidR="00F60C0E" w:rsidRPr="00BA7702" w14:paraId="66FD0184" w14:textId="77777777" w:rsidTr="00120DB4">
        <w:tc>
          <w:tcPr>
            <w:tcW w:w="848" w:type="dxa"/>
            <w:tcBorders>
              <w:top w:val="single" w:sz="2" w:space="0" w:color="000001"/>
              <w:left w:val="single" w:sz="2" w:space="0" w:color="000001"/>
              <w:bottom w:val="single" w:sz="2" w:space="0" w:color="000001"/>
              <w:right w:val="nil"/>
            </w:tcBorders>
            <w:shd w:val="clear" w:color="auto" w:fill="FFFFFF"/>
          </w:tcPr>
          <w:p w14:paraId="5E2E1F44" w14:textId="77777777" w:rsidR="00F60C0E" w:rsidRPr="00BA7702" w:rsidRDefault="00F60C0E" w:rsidP="00F60C0E">
            <w:pPr>
              <w:pStyle w:val="Contenutotabella"/>
              <w:jc w:val="both"/>
              <w:rPr>
                <w:rFonts w:asciiTheme="minorHAnsi" w:hAnsiTheme="minorHAnsi"/>
                <w:bCs/>
                <w:color w:val="auto"/>
                <w:sz w:val="20"/>
                <w:szCs w:val="20"/>
              </w:rPr>
            </w:pPr>
            <w:r w:rsidRPr="00BA7702">
              <w:rPr>
                <w:rFonts w:asciiTheme="minorHAnsi" w:hAnsiTheme="minorHAnsi"/>
                <w:bCs/>
                <w:color w:val="auto"/>
                <w:sz w:val="20"/>
                <w:szCs w:val="20"/>
              </w:rPr>
              <w:lastRenderedPageBreak/>
              <w:t>11.b</w:t>
            </w:r>
          </w:p>
        </w:tc>
        <w:tc>
          <w:tcPr>
            <w:tcW w:w="5953" w:type="dxa"/>
            <w:tcBorders>
              <w:top w:val="single" w:sz="2" w:space="0" w:color="000001"/>
              <w:left w:val="single" w:sz="2" w:space="0" w:color="000001"/>
              <w:bottom w:val="single" w:sz="2" w:space="0" w:color="000001"/>
              <w:right w:val="single" w:sz="2" w:space="0" w:color="000001"/>
            </w:tcBorders>
            <w:shd w:val="clear" w:color="auto" w:fill="FFFFFF"/>
            <w:tcMar>
              <w:left w:w="6" w:type="dxa"/>
            </w:tcMar>
          </w:tcPr>
          <w:p w14:paraId="2A724DB2" w14:textId="77777777" w:rsidR="00F60C0E" w:rsidRDefault="00F60C0E" w:rsidP="00F60C0E">
            <w:pPr>
              <w:jc w:val="both"/>
              <w:rPr>
                <w:rFonts w:asciiTheme="minorHAnsi" w:hAnsiTheme="minorHAnsi"/>
                <w:b/>
                <w:color w:val="auto"/>
                <w:sz w:val="20"/>
                <w:szCs w:val="20"/>
                <w:shd w:val="clear" w:color="auto" w:fill="FFFFFF"/>
              </w:rPr>
            </w:pPr>
            <w:r w:rsidRPr="00F2554F">
              <w:rPr>
                <w:rFonts w:asciiTheme="minorHAnsi" w:hAnsiTheme="minorHAnsi"/>
                <w:b/>
                <w:color w:val="auto"/>
                <w:sz w:val="20"/>
                <w:szCs w:val="20"/>
                <w:shd w:val="clear" w:color="auto" w:fill="FFFFFF"/>
              </w:rPr>
              <w:t>11.1. Piano di indicatori</w:t>
            </w:r>
          </w:p>
          <w:p w14:paraId="7E1B5EE8" w14:textId="77777777" w:rsidR="00F60C0E" w:rsidRPr="00F2554F" w:rsidRDefault="00F60C0E" w:rsidP="00F60C0E">
            <w:pPr>
              <w:jc w:val="both"/>
              <w:rPr>
                <w:rFonts w:asciiTheme="minorHAnsi" w:hAnsiTheme="minorHAnsi"/>
                <w:b/>
                <w:color w:val="auto"/>
                <w:sz w:val="20"/>
                <w:szCs w:val="20"/>
                <w:shd w:val="clear" w:color="auto" w:fill="FFFFFF"/>
              </w:rPr>
            </w:pPr>
            <w:r w:rsidRPr="00F2554F">
              <w:rPr>
                <w:rFonts w:asciiTheme="minorHAnsi" w:hAnsiTheme="minorHAnsi"/>
                <w:b/>
                <w:color w:val="auto"/>
                <w:sz w:val="20"/>
                <w:szCs w:val="20"/>
                <w:shd w:val="clear" w:color="auto" w:fill="FFFFFF"/>
              </w:rPr>
              <w:t>11.1.1.2. 1B) Rinsaldare i nessi tra agricoltura, produzione alimentare e silvicoltura, da un lato, e ricerca e innovazione, dall'altro, anche al fine di migliorare la gestione e le prestazioni ambientali</w:t>
            </w:r>
          </w:p>
          <w:p w14:paraId="7B14E1CA" w14:textId="77777777" w:rsidR="00F60C0E" w:rsidRPr="00F2554F" w:rsidRDefault="00F60C0E" w:rsidP="00F60C0E">
            <w:pPr>
              <w:jc w:val="both"/>
              <w:rPr>
                <w:rFonts w:asciiTheme="minorHAnsi" w:hAnsiTheme="minorHAnsi"/>
                <w:color w:val="auto"/>
                <w:sz w:val="20"/>
                <w:szCs w:val="20"/>
                <w:shd w:val="clear" w:color="auto" w:fill="FFFFFF"/>
              </w:rPr>
            </w:pPr>
          </w:p>
          <w:p w14:paraId="6B26F7CB" w14:textId="77777777" w:rsidR="00F60C0E" w:rsidRPr="00F2554F" w:rsidRDefault="00BD4119" w:rsidP="00F60C0E">
            <w:pPr>
              <w:jc w:val="both"/>
              <w:rPr>
                <w:rFonts w:asciiTheme="minorHAnsi" w:hAnsiTheme="minorHAnsi"/>
                <w:color w:val="auto"/>
                <w:sz w:val="20"/>
                <w:szCs w:val="20"/>
                <w:shd w:val="clear" w:color="auto" w:fill="FFFFFF"/>
              </w:rPr>
            </w:pPr>
            <w:r w:rsidRPr="00BD4119">
              <w:rPr>
                <w:rFonts w:asciiTheme="minorHAnsi" w:hAnsiTheme="minorHAnsi"/>
                <w:color w:val="auto"/>
                <w:sz w:val="20"/>
                <w:szCs w:val="20"/>
                <w:shd w:val="clear" w:color="auto" w:fill="FFFFFF"/>
              </w:rPr>
              <w:t>Indicatori di output previsti per il 2014-2020</w:t>
            </w:r>
          </w:p>
          <w:tbl>
            <w:tblPr>
              <w:tblW w:w="3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1472"/>
              <w:gridCol w:w="780"/>
            </w:tblGrid>
            <w:tr w:rsidR="00BD4119" w:rsidRPr="00FB27E1" w14:paraId="32115A1E" w14:textId="77777777" w:rsidTr="00A942BA">
              <w:tc>
                <w:tcPr>
                  <w:tcW w:w="1827" w:type="pct"/>
                  <w:shd w:val="clear" w:color="auto" w:fill="C0C0C0"/>
                  <w:tcMar>
                    <w:top w:w="60" w:type="dxa"/>
                  </w:tcMar>
                  <w:vAlign w:val="center"/>
                </w:tcPr>
                <w:p w14:paraId="50FD18DC" w14:textId="77777777" w:rsidR="00BD4119" w:rsidRPr="00FB27E1" w:rsidRDefault="00BD4119" w:rsidP="00B3207C">
                  <w:pPr>
                    <w:framePr w:hSpace="141" w:wrap="around" w:vAnchor="text" w:hAnchor="text" w:x="-857" w:y="1"/>
                    <w:suppressOverlap/>
                    <w:jc w:val="center"/>
                    <w:rPr>
                      <w:rFonts w:asciiTheme="minorHAnsi" w:hAnsiTheme="minorHAnsi" w:cstheme="minorHAnsi"/>
                      <w:b/>
                      <w:sz w:val="16"/>
                      <w:szCs w:val="16"/>
                    </w:rPr>
                  </w:pPr>
                  <w:r w:rsidRPr="00FB27E1">
                    <w:rPr>
                      <w:rFonts w:asciiTheme="minorHAnsi" w:hAnsiTheme="minorHAnsi" w:cstheme="minorHAnsi"/>
                      <w:b/>
                      <w:sz w:val="16"/>
                      <w:szCs w:val="16"/>
                    </w:rPr>
                    <w:t>Denominazione della misura</w:t>
                  </w:r>
                </w:p>
              </w:tc>
              <w:tc>
                <w:tcPr>
                  <w:tcW w:w="2074" w:type="pct"/>
                  <w:shd w:val="clear" w:color="auto" w:fill="C0C0C0"/>
                  <w:tcMar>
                    <w:top w:w="60" w:type="dxa"/>
                  </w:tcMar>
                  <w:vAlign w:val="center"/>
                </w:tcPr>
                <w:p w14:paraId="18AFA257" w14:textId="77777777" w:rsidR="00BD4119" w:rsidRPr="00FB27E1" w:rsidRDefault="00BD4119" w:rsidP="00B3207C">
                  <w:pPr>
                    <w:framePr w:hSpace="141" w:wrap="around" w:vAnchor="text" w:hAnchor="text" w:x="-857" w:y="1"/>
                    <w:suppressOverlap/>
                    <w:jc w:val="center"/>
                    <w:rPr>
                      <w:rFonts w:asciiTheme="minorHAnsi" w:hAnsiTheme="minorHAnsi" w:cstheme="minorHAnsi"/>
                      <w:b/>
                      <w:sz w:val="16"/>
                      <w:szCs w:val="16"/>
                    </w:rPr>
                  </w:pPr>
                  <w:r w:rsidRPr="00FB27E1">
                    <w:rPr>
                      <w:rFonts w:asciiTheme="minorHAnsi" w:hAnsiTheme="minorHAnsi" w:cstheme="minorHAnsi"/>
                      <w:b/>
                      <w:sz w:val="16"/>
                      <w:szCs w:val="16"/>
                    </w:rPr>
                    <w:t>Denominazione dell'indicatore</w:t>
                  </w:r>
                </w:p>
              </w:tc>
              <w:tc>
                <w:tcPr>
                  <w:tcW w:w="1099" w:type="pct"/>
                  <w:shd w:val="clear" w:color="auto" w:fill="C0C0C0"/>
                  <w:tcMar>
                    <w:top w:w="60" w:type="dxa"/>
                  </w:tcMar>
                  <w:vAlign w:val="center"/>
                </w:tcPr>
                <w:p w14:paraId="24F3A518" w14:textId="77777777" w:rsidR="00BD4119" w:rsidRPr="00FB27E1" w:rsidRDefault="00BD4119" w:rsidP="00B3207C">
                  <w:pPr>
                    <w:framePr w:hSpace="141" w:wrap="around" w:vAnchor="text" w:hAnchor="text" w:x="-857" w:y="1"/>
                    <w:suppressOverlap/>
                    <w:jc w:val="center"/>
                    <w:rPr>
                      <w:rFonts w:asciiTheme="minorHAnsi" w:hAnsiTheme="minorHAnsi" w:cstheme="minorHAnsi"/>
                      <w:sz w:val="16"/>
                      <w:szCs w:val="16"/>
                    </w:rPr>
                  </w:pPr>
                  <w:r w:rsidRPr="00FB27E1">
                    <w:rPr>
                      <w:rFonts w:asciiTheme="minorHAnsi" w:hAnsiTheme="minorHAnsi" w:cstheme="minorHAnsi"/>
                      <w:b/>
                      <w:sz w:val="16"/>
                      <w:szCs w:val="16"/>
                    </w:rPr>
                    <w:t>Valore</w:t>
                  </w:r>
                </w:p>
              </w:tc>
            </w:tr>
            <w:tr w:rsidR="00BD4119" w:rsidRPr="00FB27E1" w14:paraId="546F362E" w14:textId="77777777" w:rsidTr="00A942BA">
              <w:tc>
                <w:tcPr>
                  <w:tcW w:w="1827" w:type="pct"/>
                  <w:shd w:val="clear" w:color="auto" w:fill="FFFFFF"/>
                  <w:tcMar>
                    <w:top w:w="60" w:type="dxa"/>
                  </w:tcMar>
                  <w:vAlign w:val="center"/>
                </w:tcPr>
                <w:p w14:paraId="5EBB06EA" w14:textId="77777777" w:rsidR="00BD4119" w:rsidRPr="00FB27E1" w:rsidRDefault="00BD4119" w:rsidP="00B3207C">
                  <w:pPr>
                    <w:framePr w:hSpace="141" w:wrap="around" w:vAnchor="text" w:hAnchor="text" w:x="-857" w:y="1"/>
                    <w:spacing w:before="20" w:after="20"/>
                    <w:suppressOverlap/>
                    <w:rPr>
                      <w:rFonts w:asciiTheme="minorHAnsi" w:hAnsiTheme="minorHAnsi" w:cstheme="minorHAnsi"/>
                      <w:b/>
                      <w:sz w:val="16"/>
                      <w:szCs w:val="16"/>
                    </w:rPr>
                  </w:pPr>
                  <w:r w:rsidRPr="00FB27E1">
                    <w:rPr>
                      <w:rFonts w:asciiTheme="minorHAnsi" w:hAnsiTheme="minorHAnsi" w:cstheme="minorHAnsi"/>
                      <w:b/>
                      <w:sz w:val="16"/>
                      <w:szCs w:val="16"/>
                    </w:rPr>
                    <w:t>M16 - Cooperazione (art. 35)</w:t>
                  </w:r>
                </w:p>
              </w:tc>
              <w:tc>
                <w:tcPr>
                  <w:tcW w:w="2074" w:type="pct"/>
                  <w:shd w:val="clear" w:color="auto" w:fill="FFFFFF"/>
                  <w:tcMar>
                    <w:top w:w="60" w:type="dxa"/>
                  </w:tcMar>
                  <w:vAlign w:val="center"/>
                </w:tcPr>
                <w:p w14:paraId="48052CED" w14:textId="77777777" w:rsidR="00BD4119" w:rsidRPr="00FB27E1" w:rsidRDefault="00BD4119" w:rsidP="00B3207C">
                  <w:pPr>
                    <w:framePr w:hSpace="141" w:wrap="around" w:vAnchor="text" w:hAnchor="text" w:x="-857" w:y="1"/>
                    <w:spacing w:before="20" w:after="20"/>
                    <w:suppressOverlap/>
                    <w:rPr>
                      <w:rFonts w:asciiTheme="minorHAnsi" w:hAnsiTheme="minorHAnsi" w:cstheme="minorHAnsi"/>
                      <w:sz w:val="16"/>
                      <w:szCs w:val="16"/>
                    </w:rPr>
                  </w:pPr>
                  <w:r w:rsidRPr="00FB27E1">
                    <w:rPr>
                      <w:rFonts w:asciiTheme="minorHAnsi" w:hAnsiTheme="minorHAnsi" w:cstheme="minorHAnsi"/>
                      <w:sz w:val="16"/>
                      <w:szCs w:val="16"/>
                    </w:rPr>
                    <w:t>N. di gruppi operativi del PEI da finanziare (costituzione e gestione) (16.1)</w:t>
                  </w:r>
                </w:p>
              </w:tc>
              <w:tc>
                <w:tcPr>
                  <w:tcW w:w="1099" w:type="pct"/>
                  <w:shd w:val="clear" w:color="auto" w:fill="FFFFFF"/>
                  <w:tcMar>
                    <w:top w:w="60" w:type="dxa"/>
                  </w:tcMar>
                  <w:vAlign w:val="center"/>
                </w:tcPr>
                <w:p w14:paraId="09996BD9" w14:textId="77777777" w:rsidR="00BD4119" w:rsidRPr="00BD4119" w:rsidRDefault="00BD4119" w:rsidP="00B3207C">
                  <w:pPr>
                    <w:framePr w:hSpace="141" w:wrap="around" w:vAnchor="text" w:hAnchor="text" w:x="-857" w:y="1"/>
                    <w:spacing w:before="20" w:after="20"/>
                    <w:suppressOverlap/>
                    <w:jc w:val="right"/>
                    <w:rPr>
                      <w:rFonts w:asciiTheme="minorHAnsi" w:hAnsiTheme="minorHAnsi" w:cstheme="minorHAnsi"/>
                      <w:strike/>
                      <w:sz w:val="16"/>
                      <w:szCs w:val="16"/>
                      <w:highlight w:val="red"/>
                    </w:rPr>
                  </w:pPr>
                  <w:r w:rsidRPr="00BD4119">
                    <w:rPr>
                      <w:rFonts w:asciiTheme="minorHAnsi" w:hAnsiTheme="minorHAnsi" w:cstheme="minorHAnsi"/>
                      <w:strike/>
                      <w:sz w:val="16"/>
                      <w:szCs w:val="16"/>
                      <w:highlight w:val="red"/>
                    </w:rPr>
                    <w:t>100,00</w:t>
                  </w:r>
                </w:p>
                <w:p w14:paraId="5DCB1EF3" w14:textId="77777777" w:rsidR="00BD4119" w:rsidRPr="00FB27E1" w:rsidRDefault="00BD4119" w:rsidP="00B3207C">
                  <w:pPr>
                    <w:framePr w:hSpace="141" w:wrap="around" w:vAnchor="text" w:hAnchor="text" w:x="-857" w:y="1"/>
                    <w:spacing w:before="20" w:after="20"/>
                    <w:suppressOverlap/>
                    <w:jc w:val="right"/>
                    <w:rPr>
                      <w:rFonts w:asciiTheme="minorHAnsi" w:hAnsiTheme="minorHAnsi" w:cstheme="minorHAnsi"/>
                      <w:sz w:val="16"/>
                      <w:szCs w:val="16"/>
                    </w:rPr>
                  </w:pPr>
                  <w:r w:rsidRPr="00BD4119">
                    <w:rPr>
                      <w:rFonts w:asciiTheme="minorHAnsi" w:hAnsiTheme="minorHAnsi" w:cstheme="minorHAnsi"/>
                      <w:sz w:val="16"/>
                      <w:szCs w:val="16"/>
                      <w:highlight w:val="green"/>
                    </w:rPr>
                    <w:t>25</w:t>
                  </w:r>
                </w:p>
              </w:tc>
            </w:tr>
          </w:tbl>
          <w:p w14:paraId="497E5DC0" w14:textId="77777777" w:rsidR="00F60C0E" w:rsidRPr="00F2554F" w:rsidRDefault="00F60C0E" w:rsidP="00F60C0E">
            <w:pPr>
              <w:jc w:val="both"/>
              <w:rPr>
                <w:rFonts w:asciiTheme="minorHAnsi" w:hAnsiTheme="minorHAnsi"/>
                <w:b/>
                <w:color w:val="auto"/>
                <w:sz w:val="20"/>
                <w:szCs w:val="20"/>
                <w:shd w:val="clear" w:color="auto" w:fill="FFFFFF"/>
              </w:rPr>
            </w:pPr>
          </w:p>
        </w:tc>
        <w:tc>
          <w:tcPr>
            <w:tcW w:w="4681" w:type="dxa"/>
            <w:tcBorders>
              <w:top w:val="single" w:sz="2" w:space="0" w:color="000001"/>
              <w:left w:val="single" w:sz="2" w:space="0" w:color="000001"/>
              <w:bottom w:val="single" w:sz="2" w:space="0" w:color="000001"/>
              <w:right w:val="single" w:sz="2" w:space="0" w:color="000001"/>
            </w:tcBorders>
            <w:shd w:val="clear" w:color="auto" w:fill="FFFFFF"/>
          </w:tcPr>
          <w:p w14:paraId="0FDF5CD4" w14:textId="77777777" w:rsidR="00BD4119" w:rsidRPr="00D42A8F" w:rsidRDefault="00BD4119" w:rsidP="009A105B">
            <w:pPr>
              <w:pStyle w:val="NormaleWeb"/>
              <w:spacing w:line="270" w:lineRule="atLeast"/>
              <w:jc w:val="both"/>
              <w:textAlignment w:val="baseline"/>
              <w:rPr>
                <w:rFonts w:asciiTheme="minorHAnsi" w:hAnsiTheme="minorHAnsi" w:cstheme="minorHAnsi"/>
                <w:color w:val="222222"/>
                <w:sz w:val="20"/>
                <w:szCs w:val="20"/>
              </w:rPr>
            </w:pPr>
            <w:r w:rsidRPr="00D42A8F">
              <w:rPr>
                <w:rFonts w:asciiTheme="minorHAnsi" w:hAnsiTheme="minorHAnsi" w:cstheme="minorHAnsi"/>
                <w:color w:val="222222"/>
                <w:sz w:val="20"/>
                <w:szCs w:val="20"/>
              </w:rPr>
              <w:lastRenderedPageBreak/>
              <w:t xml:space="preserve">A seguito della verifica di un refuso nell’inserimento del target per l’indicatore “N. di gruppi operativi del PEI da finanziare (costituzione e gestione) (16.1)” nell’ambito </w:t>
            </w:r>
            <w:r w:rsidRPr="00D42A8F">
              <w:rPr>
                <w:rFonts w:asciiTheme="minorHAnsi" w:hAnsiTheme="minorHAnsi" w:cstheme="minorHAnsi"/>
                <w:color w:val="222222"/>
                <w:sz w:val="20"/>
                <w:szCs w:val="20"/>
              </w:rPr>
              <w:lastRenderedPageBreak/>
              <w:t>della versione 5.1 del programma, si intende correggere il valore erroneamente modificato.</w:t>
            </w:r>
          </w:p>
          <w:p w14:paraId="06F8EED6" w14:textId="77777777" w:rsidR="00BD4119" w:rsidRPr="00D42A8F" w:rsidRDefault="00BD4119" w:rsidP="009A105B">
            <w:pPr>
              <w:pStyle w:val="NormaleWeb"/>
              <w:spacing w:line="270" w:lineRule="atLeast"/>
              <w:jc w:val="both"/>
              <w:textAlignment w:val="baseline"/>
              <w:rPr>
                <w:rFonts w:asciiTheme="minorHAnsi" w:hAnsiTheme="minorHAnsi" w:cstheme="minorHAnsi"/>
                <w:color w:val="222222"/>
                <w:sz w:val="20"/>
                <w:szCs w:val="20"/>
              </w:rPr>
            </w:pPr>
            <w:r w:rsidRPr="00D42A8F">
              <w:rPr>
                <w:rFonts w:asciiTheme="minorHAnsi" w:hAnsiTheme="minorHAnsi" w:cstheme="minorHAnsi"/>
                <w:color w:val="222222"/>
                <w:sz w:val="20"/>
                <w:szCs w:val="20"/>
              </w:rPr>
              <w:t xml:space="preserve">Il target dell’indicatore nella versione 5.1 del PSR era passato da 25 a 100 proporzionalmente all’aumento di risorse attribuite all’operazione, passate da 1,5 </w:t>
            </w:r>
            <w:proofErr w:type="spellStart"/>
            <w:r w:rsidRPr="00D42A8F">
              <w:rPr>
                <w:rFonts w:asciiTheme="minorHAnsi" w:hAnsiTheme="minorHAnsi" w:cstheme="minorHAnsi"/>
                <w:color w:val="222222"/>
                <w:sz w:val="20"/>
                <w:szCs w:val="20"/>
              </w:rPr>
              <w:t>Meuro</w:t>
            </w:r>
            <w:proofErr w:type="spellEnd"/>
            <w:r w:rsidRPr="00D42A8F">
              <w:rPr>
                <w:rFonts w:asciiTheme="minorHAnsi" w:hAnsiTheme="minorHAnsi" w:cstheme="minorHAnsi"/>
                <w:color w:val="222222"/>
                <w:sz w:val="20"/>
                <w:szCs w:val="20"/>
              </w:rPr>
              <w:t xml:space="preserve"> a 6 </w:t>
            </w:r>
            <w:proofErr w:type="spellStart"/>
            <w:r w:rsidRPr="00D42A8F">
              <w:rPr>
                <w:rFonts w:asciiTheme="minorHAnsi" w:hAnsiTheme="minorHAnsi" w:cstheme="minorHAnsi"/>
                <w:color w:val="222222"/>
                <w:sz w:val="20"/>
                <w:szCs w:val="20"/>
              </w:rPr>
              <w:t>Meuro</w:t>
            </w:r>
            <w:proofErr w:type="spellEnd"/>
            <w:r w:rsidRPr="00D42A8F">
              <w:rPr>
                <w:rFonts w:asciiTheme="minorHAnsi" w:hAnsiTheme="minorHAnsi" w:cstheme="minorHAnsi"/>
                <w:color w:val="222222"/>
                <w:sz w:val="20"/>
                <w:szCs w:val="20"/>
              </w:rPr>
              <w:t>. Tuttavia, l’aumento delle risorse dell’operazione 16.1 che ha riguardato la versione 5.1 del programma era dovuta al passaggio da un sostegno erogato in relazione ai costi di cooperazione, utilizzando le risorse delle altre misure del Programma per finanziare i progetti per le operazioni che compongono il progetto, ad un sostegno erogato in forma di "importo globale", come definito nell'art. 35(6) del Reg. UE n. 1305/2013, mantenendo invariato il target finale dell’indicatore in questione. Tale passaggio non era stato adeguatamente posto in evidenza nell’ambito della descrizione della modifica e viene pertanto reso esplicito con la presente richiesta di modifica.  Pertanto, la variazione del target (proporzionale all’aumento delle risorse) è stata formulata per mero errore materiale.</w:t>
            </w:r>
          </w:p>
          <w:p w14:paraId="16EF359A" w14:textId="77777777" w:rsidR="00BD4119" w:rsidRPr="00D42A8F" w:rsidRDefault="00BD4119" w:rsidP="009A105B">
            <w:pPr>
              <w:pStyle w:val="NormaleWeb"/>
              <w:spacing w:line="270" w:lineRule="atLeast"/>
              <w:jc w:val="both"/>
              <w:textAlignment w:val="baseline"/>
              <w:rPr>
                <w:rFonts w:asciiTheme="minorHAnsi" w:hAnsiTheme="minorHAnsi" w:cstheme="minorHAnsi"/>
                <w:color w:val="222222"/>
                <w:sz w:val="20"/>
                <w:szCs w:val="20"/>
              </w:rPr>
            </w:pPr>
            <w:r w:rsidRPr="00D42A8F">
              <w:rPr>
                <w:rFonts w:asciiTheme="minorHAnsi" w:hAnsiTheme="minorHAnsi" w:cstheme="minorHAnsi"/>
                <w:color w:val="222222"/>
                <w:sz w:val="20"/>
                <w:szCs w:val="20"/>
              </w:rPr>
              <w:t xml:space="preserve">Si richiede pertanto di ripristinare il valore del target precedente </w:t>
            </w:r>
            <w:r w:rsidR="009A105B">
              <w:rPr>
                <w:rFonts w:asciiTheme="minorHAnsi" w:hAnsiTheme="minorHAnsi" w:cstheme="minorHAnsi"/>
                <w:color w:val="222222"/>
                <w:sz w:val="20"/>
                <w:szCs w:val="20"/>
              </w:rPr>
              <w:t>al</w:t>
            </w:r>
            <w:r w:rsidRPr="00D42A8F">
              <w:rPr>
                <w:rFonts w:asciiTheme="minorHAnsi" w:hAnsiTheme="minorHAnsi" w:cstheme="minorHAnsi"/>
                <w:color w:val="222222"/>
                <w:sz w:val="20"/>
                <w:szCs w:val="20"/>
              </w:rPr>
              <w:t>la versione 5.1.</w:t>
            </w:r>
          </w:p>
          <w:p w14:paraId="71E80EB6" w14:textId="77777777" w:rsidR="00F60C0E" w:rsidRPr="00D42A8F" w:rsidRDefault="00F60C0E" w:rsidP="009A105B">
            <w:pPr>
              <w:jc w:val="both"/>
              <w:rPr>
                <w:rFonts w:asciiTheme="minorHAnsi" w:hAnsiTheme="minorHAnsi" w:cstheme="minorHAnsi"/>
                <w:color w:val="auto"/>
                <w:sz w:val="20"/>
                <w:szCs w:val="20"/>
                <w:shd w:val="clear" w:color="auto" w:fill="FFFFFF"/>
              </w:rPr>
            </w:pPr>
          </w:p>
        </w:tc>
        <w:tc>
          <w:tcPr>
            <w:tcW w:w="1704" w:type="dxa"/>
            <w:tcBorders>
              <w:top w:val="single" w:sz="2" w:space="0" w:color="000001"/>
              <w:left w:val="single" w:sz="2" w:space="0" w:color="000001"/>
              <w:bottom w:val="single" w:sz="2" w:space="0" w:color="000001"/>
              <w:right w:val="single" w:sz="2" w:space="0" w:color="000001"/>
            </w:tcBorders>
            <w:shd w:val="clear" w:color="auto" w:fill="FFFFFF"/>
          </w:tcPr>
          <w:p w14:paraId="6E895E0A" w14:textId="77777777" w:rsidR="00F60C0E" w:rsidRPr="00BA7702" w:rsidRDefault="00BD4119" w:rsidP="009A105B">
            <w:pPr>
              <w:jc w:val="both"/>
              <w:rPr>
                <w:rFonts w:asciiTheme="minorHAnsi" w:hAnsiTheme="minorHAnsi"/>
                <w:color w:val="auto"/>
                <w:sz w:val="20"/>
                <w:szCs w:val="20"/>
                <w:shd w:val="clear" w:color="auto" w:fill="FFFFFF"/>
              </w:rPr>
            </w:pPr>
            <w:r w:rsidRPr="00BD4119">
              <w:rPr>
                <w:rFonts w:asciiTheme="minorHAnsi" w:hAnsiTheme="minorHAnsi"/>
                <w:color w:val="auto"/>
                <w:sz w:val="20"/>
                <w:szCs w:val="20"/>
                <w:shd w:val="clear" w:color="auto" w:fill="FFFFFF"/>
              </w:rPr>
              <w:lastRenderedPageBreak/>
              <w:t xml:space="preserve">La modifica consente la corretta quantificazione del target </w:t>
            </w:r>
            <w:r w:rsidRPr="00BD4119">
              <w:rPr>
                <w:rFonts w:asciiTheme="minorHAnsi" w:hAnsiTheme="minorHAnsi"/>
                <w:color w:val="auto"/>
                <w:sz w:val="20"/>
                <w:szCs w:val="20"/>
                <w:shd w:val="clear" w:color="auto" w:fill="FFFFFF"/>
              </w:rPr>
              <w:lastRenderedPageBreak/>
              <w:t>dell’indicatore “N. di gruppi operativi del PEI da finanziare (costituzione e   gestione) (16.1)”</w:t>
            </w:r>
          </w:p>
        </w:tc>
        <w:tc>
          <w:tcPr>
            <w:tcW w:w="1672" w:type="dxa"/>
            <w:tcBorders>
              <w:top w:val="single" w:sz="2" w:space="0" w:color="000001"/>
              <w:left w:val="single" w:sz="2" w:space="0" w:color="000001"/>
              <w:bottom w:val="single" w:sz="2" w:space="0" w:color="000001"/>
              <w:right w:val="single" w:sz="2" w:space="0" w:color="000001"/>
            </w:tcBorders>
            <w:shd w:val="clear" w:color="auto" w:fill="FFFFFF"/>
          </w:tcPr>
          <w:p w14:paraId="26E9A4A3" w14:textId="77777777" w:rsidR="00F60C0E" w:rsidRPr="00BA7702" w:rsidRDefault="00BD4119" w:rsidP="009A105B">
            <w:pPr>
              <w:jc w:val="both"/>
              <w:rPr>
                <w:rFonts w:asciiTheme="minorHAnsi" w:hAnsiTheme="minorHAnsi"/>
                <w:color w:val="auto"/>
                <w:sz w:val="20"/>
                <w:szCs w:val="20"/>
                <w:shd w:val="clear" w:color="auto" w:fill="FFFFFF"/>
              </w:rPr>
            </w:pPr>
            <w:r w:rsidRPr="00BD4119">
              <w:rPr>
                <w:rFonts w:asciiTheme="minorHAnsi" w:hAnsiTheme="minorHAnsi"/>
                <w:color w:val="auto"/>
                <w:sz w:val="20"/>
                <w:szCs w:val="20"/>
                <w:shd w:val="clear" w:color="auto" w:fill="FFFFFF"/>
              </w:rPr>
              <w:lastRenderedPageBreak/>
              <w:t xml:space="preserve">La modifica riguarda specificamente la correzione di un </w:t>
            </w:r>
            <w:r w:rsidRPr="00BD4119">
              <w:rPr>
                <w:rFonts w:asciiTheme="minorHAnsi" w:hAnsiTheme="minorHAnsi"/>
                <w:color w:val="auto"/>
                <w:sz w:val="20"/>
                <w:szCs w:val="20"/>
                <w:shd w:val="clear" w:color="auto" w:fill="FFFFFF"/>
              </w:rPr>
              <w:lastRenderedPageBreak/>
              <w:t>errore nella quantificazione del target dell’indicatore “N. di gruppi operativi del PEI da finanziare (costituzione e   gestione) (16.1)” e conseguente modifica dell’indicatore T2.</w:t>
            </w:r>
          </w:p>
        </w:tc>
        <w:tc>
          <w:tcPr>
            <w:tcW w:w="1446" w:type="dxa"/>
            <w:tcBorders>
              <w:top w:val="single" w:sz="2" w:space="0" w:color="000001"/>
              <w:left w:val="single" w:sz="2" w:space="0" w:color="000001"/>
              <w:bottom w:val="single" w:sz="2" w:space="0" w:color="000001"/>
              <w:right w:val="single" w:sz="2" w:space="0" w:color="000001"/>
            </w:tcBorders>
            <w:shd w:val="clear" w:color="auto" w:fill="FFFFFF"/>
          </w:tcPr>
          <w:p w14:paraId="6C5DD68E" w14:textId="77777777" w:rsidR="00F60C0E" w:rsidRPr="005D2643" w:rsidRDefault="00F60C0E" w:rsidP="009A105B">
            <w:pPr>
              <w:jc w:val="both"/>
              <w:rPr>
                <w:rFonts w:asciiTheme="minorHAnsi" w:hAnsiTheme="minorHAnsi"/>
                <w:color w:val="auto"/>
                <w:sz w:val="20"/>
                <w:szCs w:val="20"/>
              </w:rPr>
            </w:pPr>
            <w:r>
              <w:rPr>
                <w:rFonts w:asciiTheme="minorHAnsi" w:hAnsiTheme="minorHAnsi"/>
                <w:color w:val="auto"/>
                <w:sz w:val="20"/>
                <w:szCs w:val="20"/>
              </w:rPr>
              <w:lastRenderedPageBreak/>
              <w:t>Non ci sono effetti sull’Accordo di Partenariato.</w:t>
            </w:r>
          </w:p>
        </w:tc>
      </w:tr>
    </w:tbl>
    <w:p w14:paraId="13300F94" w14:textId="77777777" w:rsidR="00FD1168" w:rsidRPr="0004793E" w:rsidRDefault="002B3ACB" w:rsidP="00FD1168">
      <w:pPr>
        <w:jc w:val="both"/>
        <w:rPr>
          <w:color w:val="auto"/>
        </w:rPr>
      </w:pPr>
      <w:r w:rsidRPr="00BA7702">
        <w:rPr>
          <w:color w:val="auto"/>
        </w:rPr>
        <w:br w:type="textWrapping" w:clear="all"/>
      </w:r>
    </w:p>
    <w:sectPr w:rsidR="00FD1168" w:rsidRPr="0004793E" w:rsidSect="00792592">
      <w:pgSz w:w="16838" w:h="11906" w:orient="landscape" w:code="9"/>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Fallback">
    <w:altName w:val="Times New Roman"/>
    <w:charset w:val="01"/>
    <w:family w:val="auto"/>
    <w:pitch w:val="variable"/>
  </w:font>
  <w:font w:name="FreeSans">
    <w:altName w:val="Arial"/>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D0E82"/>
    <w:multiLevelType w:val="hybridMultilevel"/>
    <w:tmpl w:val="6A8AC2BE"/>
    <w:lvl w:ilvl="0" w:tplc="EFF8880E">
      <w:numFmt w:val="bullet"/>
      <w:lvlText w:val="•"/>
      <w:lvlJc w:val="left"/>
      <w:pPr>
        <w:ind w:left="360" w:hanging="360"/>
      </w:pPr>
      <w:rPr>
        <w:rFonts w:ascii="Calibri" w:eastAsiaTheme="minorHAnsi" w:hAnsi="Calibri"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175B35D3"/>
    <w:multiLevelType w:val="hybridMultilevel"/>
    <w:tmpl w:val="F0BC24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94D47D5"/>
    <w:multiLevelType w:val="hybridMultilevel"/>
    <w:tmpl w:val="05BEAFA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B5D7F47"/>
    <w:multiLevelType w:val="hybridMultilevel"/>
    <w:tmpl w:val="E5AC9E44"/>
    <w:lvl w:ilvl="0" w:tplc="04709E06">
      <w:numFmt w:val="bullet"/>
      <w:lvlText w:val="-"/>
      <w:lvlJc w:val="left"/>
      <w:pPr>
        <w:ind w:left="360" w:hanging="360"/>
      </w:pPr>
      <w:rPr>
        <w:rFonts w:ascii="Calibri" w:eastAsia="Droid Sans Fallback" w:hAnsi="Calibri" w:cs="FreeSan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22B81AAC"/>
    <w:multiLevelType w:val="hybridMultilevel"/>
    <w:tmpl w:val="224ADF04"/>
    <w:lvl w:ilvl="0" w:tplc="009E012A">
      <w:numFmt w:val="bullet"/>
      <w:lvlText w:val="•"/>
      <w:lvlJc w:val="left"/>
      <w:pPr>
        <w:ind w:left="1065" w:hanging="705"/>
      </w:pPr>
      <w:rPr>
        <w:rFonts w:ascii="Calibri" w:eastAsia="Droid Sans Fallback" w:hAnsi="Calibri" w:cs="Free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92822BD"/>
    <w:multiLevelType w:val="hybridMultilevel"/>
    <w:tmpl w:val="B3182B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7AE5A10"/>
    <w:multiLevelType w:val="hybridMultilevel"/>
    <w:tmpl w:val="3D02DDB6"/>
    <w:lvl w:ilvl="0" w:tplc="B6DE025E">
      <w:numFmt w:val="bullet"/>
      <w:lvlText w:val="•"/>
      <w:lvlJc w:val="left"/>
      <w:pPr>
        <w:ind w:left="720" w:hanging="360"/>
      </w:pPr>
      <w:rPr>
        <w:rFonts w:ascii="Calibri" w:eastAsia="Droid Sans Fallback" w:hAnsi="Calibri" w:cs="Free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A021D5B"/>
    <w:multiLevelType w:val="hybridMultilevel"/>
    <w:tmpl w:val="E3B2D15E"/>
    <w:lvl w:ilvl="0" w:tplc="92289794">
      <w:numFmt w:val="bullet"/>
      <w:lvlText w:val="-"/>
      <w:lvlJc w:val="left"/>
      <w:pPr>
        <w:ind w:left="360" w:hanging="360"/>
      </w:pPr>
      <w:rPr>
        <w:rFonts w:ascii="Calibri" w:eastAsiaTheme="minorHAnsi" w:hAnsi="Calibri"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AF5784D"/>
    <w:multiLevelType w:val="hybridMultilevel"/>
    <w:tmpl w:val="E034AE88"/>
    <w:lvl w:ilvl="0" w:tplc="0410000F">
      <w:start w:val="1"/>
      <w:numFmt w:val="decimal"/>
      <w:lvlText w:val="%1."/>
      <w:lvlJc w:val="left"/>
      <w:pPr>
        <w:ind w:left="360" w:hanging="360"/>
      </w:pPr>
      <w:rPr>
        <w:rFonts w:hint="default"/>
      </w:rPr>
    </w:lvl>
    <w:lvl w:ilvl="1" w:tplc="92289794">
      <w:numFmt w:val="bullet"/>
      <w:lvlText w:val="-"/>
      <w:lvlJc w:val="left"/>
      <w:pPr>
        <w:ind w:left="1080" w:hanging="360"/>
      </w:pPr>
      <w:rPr>
        <w:rFonts w:ascii="Calibri" w:eastAsiaTheme="minorHAnsi" w:hAnsi="Calibri" w:cstheme="minorBid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41EB06A6"/>
    <w:multiLevelType w:val="hybridMultilevel"/>
    <w:tmpl w:val="80B8870E"/>
    <w:lvl w:ilvl="0" w:tplc="68A03E76">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6795FF7"/>
    <w:multiLevelType w:val="hybridMultilevel"/>
    <w:tmpl w:val="8D1868E0"/>
    <w:lvl w:ilvl="0" w:tplc="009E012A">
      <w:numFmt w:val="bullet"/>
      <w:lvlText w:val="•"/>
      <w:lvlJc w:val="left"/>
      <w:pPr>
        <w:ind w:left="1065" w:hanging="705"/>
      </w:pPr>
      <w:rPr>
        <w:rFonts w:ascii="Calibri" w:eastAsia="Droid Sans Fallback" w:hAnsi="Calibri" w:cs="Free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ABE24DA"/>
    <w:multiLevelType w:val="hybridMultilevel"/>
    <w:tmpl w:val="9896365E"/>
    <w:lvl w:ilvl="0" w:tplc="009E012A">
      <w:numFmt w:val="bullet"/>
      <w:lvlText w:val="•"/>
      <w:lvlJc w:val="left"/>
      <w:pPr>
        <w:ind w:left="705" w:hanging="705"/>
      </w:pPr>
      <w:rPr>
        <w:rFonts w:ascii="Calibri" w:eastAsia="Droid Sans Fallback" w:hAnsi="Calibri" w:cs="FreeSan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AC81714"/>
    <w:multiLevelType w:val="hybridMultilevel"/>
    <w:tmpl w:val="CCE89902"/>
    <w:lvl w:ilvl="0" w:tplc="B6627988">
      <w:numFmt w:val="bullet"/>
      <w:lvlText w:val="-"/>
      <w:lvlJc w:val="left"/>
      <w:pPr>
        <w:ind w:left="360" w:hanging="360"/>
      </w:pPr>
      <w:rPr>
        <w:rFonts w:ascii="Calibri" w:eastAsia="Droid Sans Fallback" w:hAnsi="Calibri" w:cs="FreeSan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3982B58"/>
    <w:multiLevelType w:val="hybridMultilevel"/>
    <w:tmpl w:val="78FCFBB0"/>
    <w:lvl w:ilvl="0" w:tplc="B6FA0F54">
      <w:numFmt w:val="bullet"/>
      <w:lvlText w:val="-"/>
      <w:lvlJc w:val="left"/>
      <w:pPr>
        <w:ind w:left="360" w:hanging="360"/>
      </w:pPr>
      <w:rPr>
        <w:rFonts w:ascii="Calibri" w:eastAsia="Droid Sans Fallback" w:hAnsi="Calibri" w:cs="FreeSan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53F406BC"/>
    <w:multiLevelType w:val="hybridMultilevel"/>
    <w:tmpl w:val="F13ACCCC"/>
    <w:lvl w:ilvl="0" w:tplc="92289794">
      <w:numFmt w:val="bullet"/>
      <w:lvlText w:val="-"/>
      <w:lvlJc w:val="left"/>
      <w:pPr>
        <w:ind w:left="360" w:hanging="360"/>
      </w:pPr>
      <w:rPr>
        <w:rFonts w:ascii="Calibri" w:eastAsiaTheme="minorHAnsi" w:hAnsi="Calibri"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627B4194"/>
    <w:multiLevelType w:val="hybridMultilevel"/>
    <w:tmpl w:val="51520990"/>
    <w:lvl w:ilvl="0" w:tplc="73748E1C">
      <w:numFmt w:val="bullet"/>
      <w:lvlText w:val="-"/>
      <w:lvlJc w:val="left"/>
      <w:pPr>
        <w:ind w:left="360" w:hanging="360"/>
      </w:pPr>
      <w:rPr>
        <w:rFonts w:ascii="Calibri" w:eastAsia="Droid Sans Fallback" w:hAnsi="Calibri" w:cs="FreeSan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66786403"/>
    <w:multiLevelType w:val="hybridMultilevel"/>
    <w:tmpl w:val="56B6DF6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6DE54893"/>
    <w:multiLevelType w:val="hybridMultilevel"/>
    <w:tmpl w:val="5C8E08A2"/>
    <w:lvl w:ilvl="0" w:tplc="FDBA6E2E">
      <w:numFmt w:val="bullet"/>
      <w:lvlText w:val="-"/>
      <w:lvlJc w:val="left"/>
      <w:pPr>
        <w:ind w:left="360" w:hanging="360"/>
      </w:pPr>
      <w:rPr>
        <w:rFonts w:ascii="Calibri" w:eastAsia="Droid Sans Fallback" w:hAnsi="Calibri" w:cs="FreeSan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72230754"/>
    <w:multiLevelType w:val="multilevel"/>
    <w:tmpl w:val="7223075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25E5A68"/>
    <w:multiLevelType w:val="hybridMultilevel"/>
    <w:tmpl w:val="26A4B616"/>
    <w:lvl w:ilvl="0" w:tplc="92289794">
      <w:numFmt w:val="bullet"/>
      <w:lvlText w:val="-"/>
      <w:lvlJc w:val="left"/>
      <w:pPr>
        <w:ind w:left="36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37F2451"/>
    <w:multiLevelType w:val="hybridMultilevel"/>
    <w:tmpl w:val="D03C487E"/>
    <w:lvl w:ilvl="0" w:tplc="009E012A">
      <w:numFmt w:val="bullet"/>
      <w:lvlText w:val="•"/>
      <w:lvlJc w:val="left"/>
      <w:pPr>
        <w:ind w:left="1065" w:hanging="705"/>
      </w:pPr>
      <w:rPr>
        <w:rFonts w:ascii="Calibri" w:eastAsia="Droid Sans Fallback" w:hAnsi="Calibri" w:cs="Free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F36516"/>
    <w:multiLevelType w:val="hybridMultilevel"/>
    <w:tmpl w:val="3E14E804"/>
    <w:lvl w:ilvl="0" w:tplc="8E46B09E">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D421616"/>
    <w:multiLevelType w:val="hybridMultilevel"/>
    <w:tmpl w:val="B032DC66"/>
    <w:lvl w:ilvl="0" w:tplc="9228979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7"/>
  </w:num>
  <w:num w:numId="3">
    <w:abstractNumId w:val="0"/>
  </w:num>
  <w:num w:numId="4">
    <w:abstractNumId w:val="6"/>
  </w:num>
  <w:num w:numId="5">
    <w:abstractNumId w:val="13"/>
  </w:num>
  <w:num w:numId="6">
    <w:abstractNumId w:val="2"/>
  </w:num>
  <w:num w:numId="7">
    <w:abstractNumId w:val="4"/>
  </w:num>
  <w:num w:numId="8">
    <w:abstractNumId w:val="20"/>
  </w:num>
  <w:num w:numId="9">
    <w:abstractNumId w:val="11"/>
  </w:num>
  <w:num w:numId="10">
    <w:abstractNumId w:val="10"/>
  </w:num>
  <w:num w:numId="11">
    <w:abstractNumId w:val="19"/>
  </w:num>
  <w:num w:numId="12">
    <w:abstractNumId w:val="14"/>
  </w:num>
  <w:num w:numId="13">
    <w:abstractNumId w:val="8"/>
  </w:num>
  <w:num w:numId="14">
    <w:abstractNumId w:val="12"/>
  </w:num>
  <w:num w:numId="15">
    <w:abstractNumId w:val="15"/>
  </w:num>
  <w:num w:numId="16">
    <w:abstractNumId w:val="3"/>
  </w:num>
  <w:num w:numId="17">
    <w:abstractNumId w:val="17"/>
  </w:num>
  <w:num w:numId="18">
    <w:abstractNumId w:val="16"/>
  </w:num>
  <w:num w:numId="19">
    <w:abstractNumId w:val="21"/>
  </w:num>
  <w:num w:numId="20">
    <w:abstractNumId w:val="18"/>
  </w:num>
  <w:num w:numId="21">
    <w:abstractNumId w:val="9"/>
  </w:num>
  <w:num w:numId="22">
    <w:abstractNumId w:val="5"/>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gutterAtTop/>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CF2"/>
    <w:rsid w:val="00002C78"/>
    <w:rsid w:val="0000325F"/>
    <w:rsid w:val="00004814"/>
    <w:rsid w:val="00005710"/>
    <w:rsid w:val="00007635"/>
    <w:rsid w:val="000200EC"/>
    <w:rsid w:val="00020B7D"/>
    <w:rsid w:val="0002423A"/>
    <w:rsid w:val="00024934"/>
    <w:rsid w:val="00024A34"/>
    <w:rsid w:val="0002584F"/>
    <w:rsid w:val="00025D18"/>
    <w:rsid w:val="00030400"/>
    <w:rsid w:val="00033E33"/>
    <w:rsid w:val="00034487"/>
    <w:rsid w:val="0003640B"/>
    <w:rsid w:val="0004233A"/>
    <w:rsid w:val="00043EB8"/>
    <w:rsid w:val="000444C7"/>
    <w:rsid w:val="0004793E"/>
    <w:rsid w:val="00051D09"/>
    <w:rsid w:val="000537EC"/>
    <w:rsid w:val="00054D60"/>
    <w:rsid w:val="00056A9A"/>
    <w:rsid w:val="000619D9"/>
    <w:rsid w:val="0006312D"/>
    <w:rsid w:val="00064217"/>
    <w:rsid w:val="000704C6"/>
    <w:rsid w:val="00070D34"/>
    <w:rsid w:val="00082791"/>
    <w:rsid w:val="0008574A"/>
    <w:rsid w:val="00086491"/>
    <w:rsid w:val="0009146F"/>
    <w:rsid w:val="000943EB"/>
    <w:rsid w:val="00096CE7"/>
    <w:rsid w:val="000A1A28"/>
    <w:rsid w:val="000A2728"/>
    <w:rsid w:val="000A32DC"/>
    <w:rsid w:val="000B17F2"/>
    <w:rsid w:val="000B7480"/>
    <w:rsid w:val="000C5F83"/>
    <w:rsid w:val="000C6365"/>
    <w:rsid w:val="000D1955"/>
    <w:rsid w:val="000D2DA3"/>
    <w:rsid w:val="000D4EE2"/>
    <w:rsid w:val="000D6ACD"/>
    <w:rsid w:val="000E1903"/>
    <w:rsid w:val="000E1C26"/>
    <w:rsid w:val="000E3F2C"/>
    <w:rsid w:val="000E7801"/>
    <w:rsid w:val="000F5A71"/>
    <w:rsid w:val="000F5DB5"/>
    <w:rsid w:val="001057A2"/>
    <w:rsid w:val="001109E5"/>
    <w:rsid w:val="00114A65"/>
    <w:rsid w:val="001163CC"/>
    <w:rsid w:val="00120DB4"/>
    <w:rsid w:val="00124A68"/>
    <w:rsid w:val="00125A64"/>
    <w:rsid w:val="00130C9B"/>
    <w:rsid w:val="00130F35"/>
    <w:rsid w:val="00135986"/>
    <w:rsid w:val="001379FD"/>
    <w:rsid w:val="0014165D"/>
    <w:rsid w:val="00144E2B"/>
    <w:rsid w:val="0014654F"/>
    <w:rsid w:val="00147E8A"/>
    <w:rsid w:val="00153B18"/>
    <w:rsid w:val="0015780A"/>
    <w:rsid w:val="0016530A"/>
    <w:rsid w:val="00170D54"/>
    <w:rsid w:val="0017396C"/>
    <w:rsid w:val="00181699"/>
    <w:rsid w:val="001844D4"/>
    <w:rsid w:val="00184F6D"/>
    <w:rsid w:val="0018559C"/>
    <w:rsid w:val="00190D1D"/>
    <w:rsid w:val="00196BEE"/>
    <w:rsid w:val="001B34C3"/>
    <w:rsid w:val="001B7FDB"/>
    <w:rsid w:val="001C5640"/>
    <w:rsid w:val="001D49F5"/>
    <w:rsid w:val="001D7912"/>
    <w:rsid w:val="001E2307"/>
    <w:rsid w:val="001E708D"/>
    <w:rsid w:val="001F0D78"/>
    <w:rsid w:val="001F2880"/>
    <w:rsid w:val="001F425B"/>
    <w:rsid w:val="002044ED"/>
    <w:rsid w:val="00205C8A"/>
    <w:rsid w:val="00210EA7"/>
    <w:rsid w:val="002144E8"/>
    <w:rsid w:val="00214FE2"/>
    <w:rsid w:val="0021509E"/>
    <w:rsid w:val="00216AA7"/>
    <w:rsid w:val="00217A4F"/>
    <w:rsid w:val="00220FC9"/>
    <w:rsid w:val="002244A9"/>
    <w:rsid w:val="00224C85"/>
    <w:rsid w:val="0022747F"/>
    <w:rsid w:val="0023484B"/>
    <w:rsid w:val="002352A4"/>
    <w:rsid w:val="00235DE0"/>
    <w:rsid w:val="002423FB"/>
    <w:rsid w:val="00245F96"/>
    <w:rsid w:val="00253926"/>
    <w:rsid w:val="0025558C"/>
    <w:rsid w:val="00255AAF"/>
    <w:rsid w:val="002618BD"/>
    <w:rsid w:val="002632F5"/>
    <w:rsid w:val="00265E9F"/>
    <w:rsid w:val="00272868"/>
    <w:rsid w:val="00273451"/>
    <w:rsid w:val="00277351"/>
    <w:rsid w:val="00280D84"/>
    <w:rsid w:val="002837A9"/>
    <w:rsid w:val="00291047"/>
    <w:rsid w:val="0029215B"/>
    <w:rsid w:val="0029258B"/>
    <w:rsid w:val="002935FF"/>
    <w:rsid w:val="002A182D"/>
    <w:rsid w:val="002A66A4"/>
    <w:rsid w:val="002B0CE8"/>
    <w:rsid w:val="002B188C"/>
    <w:rsid w:val="002B3ACB"/>
    <w:rsid w:val="002C004F"/>
    <w:rsid w:val="002C230B"/>
    <w:rsid w:val="002C25A8"/>
    <w:rsid w:val="002C7F0E"/>
    <w:rsid w:val="002D1B57"/>
    <w:rsid w:val="002D20EC"/>
    <w:rsid w:val="002D4F73"/>
    <w:rsid w:val="002E2988"/>
    <w:rsid w:val="002E30A5"/>
    <w:rsid w:val="002E7B54"/>
    <w:rsid w:val="002F44C6"/>
    <w:rsid w:val="002F6B85"/>
    <w:rsid w:val="003040B9"/>
    <w:rsid w:val="00304DDB"/>
    <w:rsid w:val="00310F00"/>
    <w:rsid w:val="00312E97"/>
    <w:rsid w:val="003176F6"/>
    <w:rsid w:val="003205EE"/>
    <w:rsid w:val="00326EBC"/>
    <w:rsid w:val="00334CBC"/>
    <w:rsid w:val="00336CE3"/>
    <w:rsid w:val="003409F9"/>
    <w:rsid w:val="003410E4"/>
    <w:rsid w:val="00342E01"/>
    <w:rsid w:val="003446FE"/>
    <w:rsid w:val="00351C5D"/>
    <w:rsid w:val="003558B0"/>
    <w:rsid w:val="00355CE2"/>
    <w:rsid w:val="00361BB4"/>
    <w:rsid w:val="003640C8"/>
    <w:rsid w:val="00366C70"/>
    <w:rsid w:val="0037264D"/>
    <w:rsid w:val="00372CF2"/>
    <w:rsid w:val="00374331"/>
    <w:rsid w:val="00377F41"/>
    <w:rsid w:val="00382576"/>
    <w:rsid w:val="003872D3"/>
    <w:rsid w:val="003A43F5"/>
    <w:rsid w:val="003B1DB1"/>
    <w:rsid w:val="003B4109"/>
    <w:rsid w:val="003D30D7"/>
    <w:rsid w:val="003D599D"/>
    <w:rsid w:val="003D6F75"/>
    <w:rsid w:val="003E5063"/>
    <w:rsid w:val="003F18CA"/>
    <w:rsid w:val="003F5015"/>
    <w:rsid w:val="003F7343"/>
    <w:rsid w:val="00403920"/>
    <w:rsid w:val="00403BF6"/>
    <w:rsid w:val="00404591"/>
    <w:rsid w:val="00413208"/>
    <w:rsid w:val="004154AA"/>
    <w:rsid w:val="00417196"/>
    <w:rsid w:val="004204A9"/>
    <w:rsid w:val="00424465"/>
    <w:rsid w:val="00430999"/>
    <w:rsid w:val="00434461"/>
    <w:rsid w:val="00443829"/>
    <w:rsid w:val="00444693"/>
    <w:rsid w:val="00445CAF"/>
    <w:rsid w:val="004672AE"/>
    <w:rsid w:val="0047233B"/>
    <w:rsid w:val="004812E7"/>
    <w:rsid w:val="00482163"/>
    <w:rsid w:val="00482177"/>
    <w:rsid w:val="00482F4C"/>
    <w:rsid w:val="00484273"/>
    <w:rsid w:val="004853DD"/>
    <w:rsid w:val="00485B2B"/>
    <w:rsid w:val="00493899"/>
    <w:rsid w:val="00495051"/>
    <w:rsid w:val="004A3FEF"/>
    <w:rsid w:val="004B2545"/>
    <w:rsid w:val="004B2A5F"/>
    <w:rsid w:val="004B7014"/>
    <w:rsid w:val="004C0C1F"/>
    <w:rsid w:val="004C67ED"/>
    <w:rsid w:val="004D71B0"/>
    <w:rsid w:val="004E12FB"/>
    <w:rsid w:val="004E3153"/>
    <w:rsid w:val="004E3CB4"/>
    <w:rsid w:val="004E506B"/>
    <w:rsid w:val="004E5C8E"/>
    <w:rsid w:val="004F0F97"/>
    <w:rsid w:val="00500019"/>
    <w:rsid w:val="0050004F"/>
    <w:rsid w:val="005034CC"/>
    <w:rsid w:val="00506727"/>
    <w:rsid w:val="00513E82"/>
    <w:rsid w:val="00516028"/>
    <w:rsid w:val="0052357D"/>
    <w:rsid w:val="00524F5B"/>
    <w:rsid w:val="005253E0"/>
    <w:rsid w:val="00526BD0"/>
    <w:rsid w:val="00527249"/>
    <w:rsid w:val="00532707"/>
    <w:rsid w:val="00545384"/>
    <w:rsid w:val="00561DBC"/>
    <w:rsid w:val="00562532"/>
    <w:rsid w:val="00562AD0"/>
    <w:rsid w:val="00564470"/>
    <w:rsid w:val="00567943"/>
    <w:rsid w:val="0057036C"/>
    <w:rsid w:val="00575A98"/>
    <w:rsid w:val="0058393A"/>
    <w:rsid w:val="005A0990"/>
    <w:rsid w:val="005A6234"/>
    <w:rsid w:val="005A7DEF"/>
    <w:rsid w:val="005B5531"/>
    <w:rsid w:val="005B7740"/>
    <w:rsid w:val="005C1DE1"/>
    <w:rsid w:val="005C23B6"/>
    <w:rsid w:val="005C2A4C"/>
    <w:rsid w:val="005D01F7"/>
    <w:rsid w:val="005D042F"/>
    <w:rsid w:val="005D2643"/>
    <w:rsid w:val="005D7892"/>
    <w:rsid w:val="005E3E84"/>
    <w:rsid w:val="005E6CCB"/>
    <w:rsid w:val="005F5153"/>
    <w:rsid w:val="005F7F00"/>
    <w:rsid w:val="00604976"/>
    <w:rsid w:val="006052CE"/>
    <w:rsid w:val="0061485F"/>
    <w:rsid w:val="00621FE3"/>
    <w:rsid w:val="006344F7"/>
    <w:rsid w:val="00634644"/>
    <w:rsid w:val="0063612A"/>
    <w:rsid w:val="00636ED3"/>
    <w:rsid w:val="00643E37"/>
    <w:rsid w:val="0064748A"/>
    <w:rsid w:val="00650B1D"/>
    <w:rsid w:val="00651E0E"/>
    <w:rsid w:val="00656056"/>
    <w:rsid w:val="00656BD6"/>
    <w:rsid w:val="00661E20"/>
    <w:rsid w:val="00665AD6"/>
    <w:rsid w:val="0066753C"/>
    <w:rsid w:val="00667F51"/>
    <w:rsid w:val="00674710"/>
    <w:rsid w:val="00684538"/>
    <w:rsid w:val="00687269"/>
    <w:rsid w:val="006967CC"/>
    <w:rsid w:val="006B100A"/>
    <w:rsid w:val="006C5935"/>
    <w:rsid w:val="006D37CD"/>
    <w:rsid w:val="006D5779"/>
    <w:rsid w:val="006E330C"/>
    <w:rsid w:val="006E3E8C"/>
    <w:rsid w:val="006E501E"/>
    <w:rsid w:val="006F3F82"/>
    <w:rsid w:val="0070095E"/>
    <w:rsid w:val="00703BB9"/>
    <w:rsid w:val="00704C47"/>
    <w:rsid w:val="00705BEC"/>
    <w:rsid w:val="007062BA"/>
    <w:rsid w:val="00706BE3"/>
    <w:rsid w:val="00707796"/>
    <w:rsid w:val="00717035"/>
    <w:rsid w:val="00720F06"/>
    <w:rsid w:val="007218E8"/>
    <w:rsid w:val="0072775E"/>
    <w:rsid w:val="00730E29"/>
    <w:rsid w:val="00732E6E"/>
    <w:rsid w:val="00740775"/>
    <w:rsid w:val="00740B66"/>
    <w:rsid w:val="00741043"/>
    <w:rsid w:val="007426C6"/>
    <w:rsid w:val="0074286A"/>
    <w:rsid w:val="007455E7"/>
    <w:rsid w:val="007464D9"/>
    <w:rsid w:val="00751252"/>
    <w:rsid w:val="0075637E"/>
    <w:rsid w:val="0076467E"/>
    <w:rsid w:val="0076471D"/>
    <w:rsid w:val="007711D1"/>
    <w:rsid w:val="00772FC5"/>
    <w:rsid w:val="00782E01"/>
    <w:rsid w:val="00785142"/>
    <w:rsid w:val="007870C5"/>
    <w:rsid w:val="00790512"/>
    <w:rsid w:val="00792592"/>
    <w:rsid w:val="0079702F"/>
    <w:rsid w:val="00797172"/>
    <w:rsid w:val="007A43AA"/>
    <w:rsid w:val="007A7586"/>
    <w:rsid w:val="007A7FC5"/>
    <w:rsid w:val="007C1528"/>
    <w:rsid w:val="007C4983"/>
    <w:rsid w:val="007C4FB8"/>
    <w:rsid w:val="007D04F3"/>
    <w:rsid w:val="007D1FB4"/>
    <w:rsid w:val="007D4AC0"/>
    <w:rsid w:val="007D5894"/>
    <w:rsid w:val="007E07DA"/>
    <w:rsid w:val="007E6F74"/>
    <w:rsid w:val="007F0418"/>
    <w:rsid w:val="007F3E52"/>
    <w:rsid w:val="007F41D8"/>
    <w:rsid w:val="007F5559"/>
    <w:rsid w:val="00803894"/>
    <w:rsid w:val="00805D24"/>
    <w:rsid w:val="00810C1D"/>
    <w:rsid w:val="00814626"/>
    <w:rsid w:val="0081793D"/>
    <w:rsid w:val="0082336A"/>
    <w:rsid w:val="00827DC1"/>
    <w:rsid w:val="00830283"/>
    <w:rsid w:val="0083471B"/>
    <w:rsid w:val="00834951"/>
    <w:rsid w:val="0083775C"/>
    <w:rsid w:val="00843780"/>
    <w:rsid w:val="00850C4C"/>
    <w:rsid w:val="008516B9"/>
    <w:rsid w:val="00852296"/>
    <w:rsid w:val="008527F3"/>
    <w:rsid w:val="00852BA3"/>
    <w:rsid w:val="008561EC"/>
    <w:rsid w:val="00856DD4"/>
    <w:rsid w:val="00860ACB"/>
    <w:rsid w:val="0086250F"/>
    <w:rsid w:val="0086647D"/>
    <w:rsid w:val="008718DA"/>
    <w:rsid w:val="00872367"/>
    <w:rsid w:val="0088540B"/>
    <w:rsid w:val="0088555F"/>
    <w:rsid w:val="00896850"/>
    <w:rsid w:val="008973EF"/>
    <w:rsid w:val="008B1304"/>
    <w:rsid w:val="008B1559"/>
    <w:rsid w:val="008B3855"/>
    <w:rsid w:val="008B6A06"/>
    <w:rsid w:val="008C391C"/>
    <w:rsid w:val="008C4EC9"/>
    <w:rsid w:val="008D00EA"/>
    <w:rsid w:val="008E04B4"/>
    <w:rsid w:val="008E1B83"/>
    <w:rsid w:val="008E2CCD"/>
    <w:rsid w:val="008E46AF"/>
    <w:rsid w:val="008F3051"/>
    <w:rsid w:val="008F3759"/>
    <w:rsid w:val="00901C1A"/>
    <w:rsid w:val="00902799"/>
    <w:rsid w:val="00903BC9"/>
    <w:rsid w:val="00904D22"/>
    <w:rsid w:val="009149ED"/>
    <w:rsid w:val="009176A1"/>
    <w:rsid w:val="0092318E"/>
    <w:rsid w:val="00923EE9"/>
    <w:rsid w:val="009240FE"/>
    <w:rsid w:val="0093246F"/>
    <w:rsid w:val="00932D3B"/>
    <w:rsid w:val="009337AD"/>
    <w:rsid w:val="009542D0"/>
    <w:rsid w:val="00960910"/>
    <w:rsid w:val="00964B0F"/>
    <w:rsid w:val="00966A99"/>
    <w:rsid w:val="009710E0"/>
    <w:rsid w:val="009738E5"/>
    <w:rsid w:val="00973DFB"/>
    <w:rsid w:val="00980B98"/>
    <w:rsid w:val="0098371B"/>
    <w:rsid w:val="00987E79"/>
    <w:rsid w:val="0099628A"/>
    <w:rsid w:val="00997BAF"/>
    <w:rsid w:val="009A105B"/>
    <w:rsid w:val="009A58B2"/>
    <w:rsid w:val="009B570E"/>
    <w:rsid w:val="009B6FC1"/>
    <w:rsid w:val="009D4521"/>
    <w:rsid w:val="009E61A0"/>
    <w:rsid w:val="00A03C65"/>
    <w:rsid w:val="00A03E2C"/>
    <w:rsid w:val="00A056FD"/>
    <w:rsid w:val="00A12D12"/>
    <w:rsid w:val="00A1332C"/>
    <w:rsid w:val="00A13474"/>
    <w:rsid w:val="00A14903"/>
    <w:rsid w:val="00A17F24"/>
    <w:rsid w:val="00A272AF"/>
    <w:rsid w:val="00A3669B"/>
    <w:rsid w:val="00A44BEE"/>
    <w:rsid w:val="00A45083"/>
    <w:rsid w:val="00A45592"/>
    <w:rsid w:val="00A53C0A"/>
    <w:rsid w:val="00A6082C"/>
    <w:rsid w:val="00A62C29"/>
    <w:rsid w:val="00A6568C"/>
    <w:rsid w:val="00A65AE5"/>
    <w:rsid w:val="00A6607E"/>
    <w:rsid w:val="00A67097"/>
    <w:rsid w:val="00A825BF"/>
    <w:rsid w:val="00A84FB4"/>
    <w:rsid w:val="00A8736D"/>
    <w:rsid w:val="00A8739E"/>
    <w:rsid w:val="00AA348D"/>
    <w:rsid w:val="00AA3B66"/>
    <w:rsid w:val="00AB0127"/>
    <w:rsid w:val="00AB6841"/>
    <w:rsid w:val="00AC04DC"/>
    <w:rsid w:val="00AC377C"/>
    <w:rsid w:val="00AC65D2"/>
    <w:rsid w:val="00AC6F6B"/>
    <w:rsid w:val="00AC7F5F"/>
    <w:rsid w:val="00AD6C58"/>
    <w:rsid w:val="00AE4CD1"/>
    <w:rsid w:val="00AE630F"/>
    <w:rsid w:val="00AF2ADC"/>
    <w:rsid w:val="00AF33ED"/>
    <w:rsid w:val="00AF645B"/>
    <w:rsid w:val="00B05CFE"/>
    <w:rsid w:val="00B064B2"/>
    <w:rsid w:val="00B175C7"/>
    <w:rsid w:val="00B222AA"/>
    <w:rsid w:val="00B23DA5"/>
    <w:rsid w:val="00B25619"/>
    <w:rsid w:val="00B3207C"/>
    <w:rsid w:val="00B35340"/>
    <w:rsid w:val="00B42F10"/>
    <w:rsid w:val="00B44A4B"/>
    <w:rsid w:val="00B475C7"/>
    <w:rsid w:val="00B50639"/>
    <w:rsid w:val="00B56266"/>
    <w:rsid w:val="00B63BB6"/>
    <w:rsid w:val="00B6537F"/>
    <w:rsid w:val="00B75BC9"/>
    <w:rsid w:val="00B8509A"/>
    <w:rsid w:val="00B90AE4"/>
    <w:rsid w:val="00B94203"/>
    <w:rsid w:val="00B94BB5"/>
    <w:rsid w:val="00BA7702"/>
    <w:rsid w:val="00BB2542"/>
    <w:rsid w:val="00BB792C"/>
    <w:rsid w:val="00BC11F5"/>
    <w:rsid w:val="00BC7E2A"/>
    <w:rsid w:val="00BD29E1"/>
    <w:rsid w:val="00BD4119"/>
    <w:rsid w:val="00BD5AE2"/>
    <w:rsid w:val="00BE22E2"/>
    <w:rsid w:val="00BE3A6F"/>
    <w:rsid w:val="00BE3AB3"/>
    <w:rsid w:val="00BE3DCD"/>
    <w:rsid w:val="00BF0189"/>
    <w:rsid w:val="00BF26A2"/>
    <w:rsid w:val="00BF42CD"/>
    <w:rsid w:val="00BF7740"/>
    <w:rsid w:val="00C10D8E"/>
    <w:rsid w:val="00C15C80"/>
    <w:rsid w:val="00C1617F"/>
    <w:rsid w:val="00C21F65"/>
    <w:rsid w:val="00C230D2"/>
    <w:rsid w:val="00C34C60"/>
    <w:rsid w:val="00C36482"/>
    <w:rsid w:val="00C37B58"/>
    <w:rsid w:val="00C465D7"/>
    <w:rsid w:val="00C56BBE"/>
    <w:rsid w:val="00C6013F"/>
    <w:rsid w:val="00C710D4"/>
    <w:rsid w:val="00C71777"/>
    <w:rsid w:val="00C7358F"/>
    <w:rsid w:val="00C7439A"/>
    <w:rsid w:val="00C74B8E"/>
    <w:rsid w:val="00C76066"/>
    <w:rsid w:val="00C760A4"/>
    <w:rsid w:val="00C8369A"/>
    <w:rsid w:val="00C85369"/>
    <w:rsid w:val="00C929C6"/>
    <w:rsid w:val="00C961F6"/>
    <w:rsid w:val="00C972E8"/>
    <w:rsid w:val="00CA3874"/>
    <w:rsid w:val="00CA49C9"/>
    <w:rsid w:val="00CA5488"/>
    <w:rsid w:val="00CA6259"/>
    <w:rsid w:val="00CA6709"/>
    <w:rsid w:val="00CB0C05"/>
    <w:rsid w:val="00CB4DF4"/>
    <w:rsid w:val="00CB79E0"/>
    <w:rsid w:val="00CD4CED"/>
    <w:rsid w:val="00CE6D42"/>
    <w:rsid w:val="00CE7303"/>
    <w:rsid w:val="00CF0662"/>
    <w:rsid w:val="00CF4844"/>
    <w:rsid w:val="00CF4914"/>
    <w:rsid w:val="00D038DF"/>
    <w:rsid w:val="00D03E54"/>
    <w:rsid w:val="00D03EDA"/>
    <w:rsid w:val="00D10F32"/>
    <w:rsid w:val="00D12C8C"/>
    <w:rsid w:val="00D13419"/>
    <w:rsid w:val="00D30235"/>
    <w:rsid w:val="00D338C2"/>
    <w:rsid w:val="00D41D57"/>
    <w:rsid w:val="00D425EA"/>
    <w:rsid w:val="00D42A8F"/>
    <w:rsid w:val="00D44205"/>
    <w:rsid w:val="00D44E6C"/>
    <w:rsid w:val="00D459A9"/>
    <w:rsid w:val="00D46F76"/>
    <w:rsid w:val="00D52CC3"/>
    <w:rsid w:val="00D54AE5"/>
    <w:rsid w:val="00D56A39"/>
    <w:rsid w:val="00D6088B"/>
    <w:rsid w:val="00D60D96"/>
    <w:rsid w:val="00D70A1A"/>
    <w:rsid w:val="00D7114C"/>
    <w:rsid w:val="00D85736"/>
    <w:rsid w:val="00D90151"/>
    <w:rsid w:val="00D906C1"/>
    <w:rsid w:val="00D911DC"/>
    <w:rsid w:val="00D96D31"/>
    <w:rsid w:val="00DA1EF4"/>
    <w:rsid w:val="00DA3C96"/>
    <w:rsid w:val="00DB1BEF"/>
    <w:rsid w:val="00DB1DF7"/>
    <w:rsid w:val="00DB1F48"/>
    <w:rsid w:val="00DB7146"/>
    <w:rsid w:val="00DC18E3"/>
    <w:rsid w:val="00DC2AF2"/>
    <w:rsid w:val="00DC4461"/>
    <w:rsid w:val="00DC5B4D"/>
    <w:rsid w:val="00DC6CE6"/>
    <w:rsid w:val="00DD3EE8"/>
    <w:rsid w:val="00DD51DD"/>
    <w:rsid w:val="00DE1565"/>
    <w:rsid w:val="00DE171C"/>
    <w:rsid w:val="00DE2C0A"/>
    <w:rsid w:val="00DE784F"/>
    <w:rsid w:val="00DF1748"/>
    <w:rsid w:val="00DF3649"/>
    <w:rsid w:val="00DF418D"/>
    <w:rsid w:val="00DF74C6"/>
    <w:rsid w:val="00E043ED"/>
    <w:rsid w:val="00E10E9E"/>
    <w:rsid w:val="00E12390"/>
    <w:rsid w:val="00E13E74"/>
    <w:rsid w:val="00E20EA2"/>
    <w:rsid w:val="00E24447"/>
    <w:rsid w:val="00E307DC"/>
    <w:rsid w:val="00E34BE0"/>
    <w:rsid w:val="00E34FA6"/>
    <w:rsid w:val="00E40F13"/>
    <w:rsid w:val="00E420E8"/>
    <w:rsid w:val="00E51DE0"/>
    <w:rsid w:val="00E53FB9"/>
    <w:rsid w:val="00E53FEA"/>
    <w:rsid w:val="00E566A5"/>
    <w:rsid w:val="00E56737"/>
    <w:rsid w:val="00E65F12"/>
    <w:rsid w:val="00E71204"/>
    <w:rsid w:val="00E7227A"/>
    <w:rsid w:val="00E73022"/>
    <w:rsid w:val="00E75617"/>
    <w:rsid w:val="00E77EE0"/>
    <w:rsid w:val="00E82124"/>
    <w:rsid w:val="00E83280"/>
    <w:rsid w:val="00E927CB"/>
    <w:rsid w:val="00E93E88"/>
    <w:rsid w:val="00E97B54"/>
    <w:rsid w:val="00EA2E4E"/>
    <w:rsid w:val="00EA32C7"/>
    <w:rsid w:val="00EA65CF"/>
    <w:rsid w:val="00EB15E8"/>
    <w:rsid w:val="00EB3154"/>
    <w:rsid w:val="00EB6C9A"/>
    <w:rsid w:val="00EB7319"/>
    <w:rsid w:val="00EC2331"/>
    <w:rsid w:val="00EC5322"/>
    <w:rsid w:val="00ED59C2"/>
    <w:rsid w:val="00ED6243"/>
    <w:rsid w:val="00EE06A3"/>
    <w:rsid w:val="00EE51FC"/>
    <w:rsid w:val="00EE5612"/>
    <w:rsid w:val="00EE5AFE"/>
    <w:rsid w:val="00EE6B73"/>
    <w:rsid w:val="00EF5E34"/>
    <w:rsid w:val="00F008B1"/>
    <w:rsid w:val="00F01F94"/>
    <w:rsid w:val="00F038AE"/>
    <w:rsid w:val="00F03B80"/>
    <w:rsid w:val="00F16A0F"/>
    <w:rsid w:val="00F1774E"/>
    <w:rsid w:val="00F20E7F"/>
    <w:rsid w:val="00F2554F"/>
    <w:rsid w:val="00F40C4C"/>
    <w:rsid w:val="00F41769"/>
    <w:rsid w:val="00F54D64"/>
    <w:rsid w:val="00F5678B"/>
    <w:rsid w:val="00F57F0B"/>
    <w:rsid w:val="00F60C0E"/>
    <w:rsid w:val="00F67136"/>
    <w:rsid w:val="00F753D4"/>
    <w:rsid w:val="00F80502"/>
    <w:rsid w:val="00F84038"/>
    <w:rsid w:val="00F87D0A"/>
    <w:rsid w:val="00F92212"/>
    <w:rsid w:val="00F93AF3"/>
    <w:rsid w:val="00F94D16"/>
    <w:rsid w:val="00F968E7"/>
    <w:rsid w:val="00F96CB8"/>
    <w:rsid w:val="00F97BCC"/>
    <w:rsid w:val="00FA0B4F"/>
    <w:rsid w:val="00FA373D"/>
    <w:rsid w:val="00FA569A"/>
    <w:rsid w:val="00FA6903"/>
    <w:rsid w:val="00FB2585"/>
    <w:rsid w:val="00FB7CF5"/>
    <w:rsid w:val="00FC6FF1"/>
    <w:rsid w:val="00FD0512"/>
    <w:rsid w:val="00FD1168"/>
    <w:rsid w:val="00FD1463"/>
    <w:rsid w:val="00FF437F"/>
    <w:rsid w:val="00FF6B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37216"/>
  <w15:chartTrackingRefBased/>
  <w15:docId w15:val="{1BEE6ED7-4B11-43A0-B1C5-1A4FC9873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372CF2"/>
    <w:pPr>
      <w:widowControl w:val="0"/>
      <w:suppressAutoHyphens/>
      <w:spacing w:after="0" w:line="240" w:lineRule="auto"/>
    </w:pPr>
    <w:rPr>
      <w:rFonts w:ascii="Calibri" w:eastAsia="Droid Sans Fallback" w:hAnsi="Calibri" w:cs="FreeSans"/>
      <w:color w:val="00000A"/>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ntenutotabella">
    <w:name w:val="Contenuto tabella"/>
    <w:basedOn w:val="Normale"/>
    <w:rsid w:val="00372CF2"/>
    <w:pPr>
      <w:suppressLineNumbers/>
    </w:pPr>
  </w:style>
  <w:style w:type="table" w:styleId="Grigliatabella">
    <w:name w:val="Table Grid"/>
    <w:basedOn w:val="Tabellanormale"/>
    <w:uiPriority w:val="59"/>
    <w:rsid w:val="00372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797172"/>
    <w:pPr>
      <w:widowControl/>
      <w:suppressAutoHyphens w:val="0"/>
      <w:spacing w:after="160" w:line="259" w:lineRule="auto"/>
      <w:ind w:left="720"/>
      <w:contextualSpacing/>
    </w:pPr>
    <w:rPr>
      <w:rFonts w:asciiTheme="minorHAnsi" w:eastAsiaTheme="minorHAnsi" w:hAnsiTheme="minorHAnsi" w:cstheme="minorBidi"/>
      <w:color w:val="auto"/>
      <w:sz w:val="22"/>
      <w:szCs w:val="22"/>
      <w:lang w:eastAsia="en-US" w:bidi="ar-SA"/>
    </w:rPr>
  </w:style>
  <w:style w:type="character" w:styleId="Numeroriga">
    <w:name w:val="line number"/>
    <w:basedOn w:val="Carpredefinitoparagrafo"/>
    <w:uiPriority w:val="99"/>
    <w:semiHidden/>
    <w:unhideWhenUsed/>
    <w:rsid w:val="00792592"/>
  </w:style>
  <w:style w:type="paragraph" w:styleId="Testofumetto">
    <w:name w:val="Balloon Text"/>
    <w:basedOn w:val="Normale"/>
    <w:link w:val="TestofumettoCarattere"/>
    <w:uiPriority w:val="99"/>
    <w:semiHidden/>
    <w:unhideWhenUsed/>
    <w:rsid w:val="002B0CE8"/>
    <w:rPr>
      <w:rFonts w:ascii="Segoe UI" w:hAnsi="Segoe UI" w:cs="Mangal"/>
      <w:sz w:val="18"/>
      <w:szCs w:val="16"/>
    </w:rPr>
  </w:style>
  <w:style w:type="character" w:customStyle="1" w:styleId="TestofumettoCarattere">
    <w:name w:val="Testo fumetto Carattere"/>
    <w:basedOn w:val="Carpredefinitoparagrafo"/>
    <w:link w:val="Testofumetto"/>
    <w:uiPriority w:val="99"/>
    <w:semiHidden/>
    <w:rsid w:val="002B0CE8"/>
    <w:rPr>
      <w:rFonts w:ascii="Segoe UI" w:eastAsia="Droid Sans Fallback" w:hAnsi="Segoe UI" w:cs="Mangal"/>
      <w:color w:val="00000A"/>
      <w:sz w:val="18"/>
      <w:szCs w:val="16"/>
      <w:lang w:eastAsia="zh-CN" w:bidi="hi-IN"/>
    </w:rPr>
  </w:style>
  <w:style w:type="paragraph" w:styleId="NormaleWeb">
    <w:name w:val="Normal (Web)"/>
    <w:basedOn w:val="Normale"/>
    <w:uiPriority w:val="99"/>
    <w:semiHidden/>
    <w:unhideWhenUsed/>
    <w:rsid w:val="00740B66"/>
    <w:pPr>
      <w:widowControl/>
      <w:suppressAutoHyphens w:val="0"/>
      <w:spacing w:before="100" w:beforeAutospacing="1" w:after="100" w:afterAutospacing="1"/>
    </w:pPr>
    <w:rPr>
      <w:rFonts w:ascii="Times New Roman" w:eastAsia="Times New Roman" w:hAnsi="Times New Roman" w:cs="Times New Roman"/>
      <w:color w:val="auto"/>
      <w:lang w:eastAsia="it-IT" w:bidi="ar-SA"/>
    </w:rPr>
  </w:style>
  <w:style w:type="character" w:styleId="Enfasigrassetto">
    <w:name w:val="Strong"/>
    <w:basedOn w:val="Carpredefinitoparagrafo"/>
    <w:uiPriority w:val="22"/>
    <w:qFormat/>
    <w:rsid w:val="00740B66"/>
    <w:rPr>
      <w:b/>
      <w:bCs/>
    </w:rPr>
  </w:style>
  <w:style w:type="character" w:customStyle="1" w:styleId="ParagrafoelencoCarattere">
    <w:name w:val="Paragrafo elenco Carattere"/>
    <w:basedOn w:val="Carpredefinitoparagrafo"/>
    <w:link w:val="Paragrafoelenco"/>
    <w:uiPriority w:val="34"/>
    <w:rsid w:val="00DC6C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219655">
      <w:bodyDiv w:val="1"/>
      <w:marLeft w:val="0"/>
      <w:marRight w:val="0"/>
      <w:marTop w:val="0"/>
      <w:marBottom w:val="0"/>
      <w:divBdr>
        <w:top w:val="none" w:sz="0" w:space="0" w:color="auto"/>
        <w:left w:val="none" w:sz="0" w:space="0" w:color="auto"/>
        <w:bottom w:val="none" w:sz="0" w:space="0" w:color="auto"/>
        <w:right w:val="none" w:sz="0" w:space="0" w:color="auto"/>
      </w:divBdr>
    </w:div>
    <w:div w:id="1613241804">
      <w:bodyDiv w:val="1"/>
      <w:marLeft w:val="0"/>
      <w:marRight w:val="0"/>
      <w:marTop w:val="0"/>
      <w:marBottom w:val="0"/>
      <w:divBdr>
        <w:top w:val="none" w:sz="0" w:space="0" w:color="auto"/>
        <w:left w:val="none" w:sz="0" w:space="0" w:color="auto"/>
        <w:bottom w:val="none" w:sz="0" w:space="0" w:color="auto"/>
        <w:right w:val="none" w:sz="0" w:space="0" w:color="auto"/>
      </w:divBdr>
    </w:div>
    <w:div w:id="1906798357">
      <w:bodyDiv w:val="1"/>
      <w:marLeft w:val="0"/>
      <w:marRight w:val="0"/>
      <w:marTop w:val="0"/>
      <w:marBottom w:val="0"/>
      <w:divBdr>
        <w:top w:val="none" w:sz="0" w:space="0" w:color="auto"/>
        <w:left w:val="none" w:sz="0" w:space="0" w:color="auto"/>
        <w:bottom w:val="none" w:sz="0" w:space="0" w:color="auto"/>
        <w:right w:val="none" w:sz="0" w:space="0" w:color="auto"/>
      </w:divBdr>
    </w:div>
    <w:div w:id="213313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20F413FA6FD618448033BA41A5EF0BA5" ma:contentTypeVersion="15" ma:contentTypeDescription="Creare un nuovo documento." ma:contentTypeScope="" ma:versionID="41565c94faedeaec6046af8af3efdbc6">
  <xsd:schema xmlns:xsd="http://www.w3.org/2001/XMLSchema" xmlns:xs="http://www.w3.org/2001/XMLSchema" xmlns:p="http://schemas.microsoft.com/office/2006/metadata/properties" xmlns:ns2="332fc371-17c2-4317-8537-9f413ceda120" xmlns:ns3="54c2de6a-5e62-4798-834b-a53af5a19350" targetNamespace="http://schemas.microsoft.com/office/2006/metadata/properties" ma:root="true" ma:fieldsID="d5e544610e25ff7537a96d2a1a5f4161" ns2:_="" ns3:_="">
    <xsd:import namespace="332fc371-17c2-4317-8537-9f413ceda120"/>
    <xsd:import namespace="54c2de6a-5e62-4798-834b-a53af5a193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TaxCatchAll" minOccurs="0"/>
                <xsd:element ref="ns2:MediaServiceDateTaken" minOccurs="0"/>
                <xsd:element ref="ns2:MediaServiceOCR" minOccurs="0"/>
                <xsd:element ref="ns2:MediaServiceGenerationTime" minOccurs="0"/>
                <xsd:element ref="ns2:MediaServiceEventHashCode" minOccurs="0"/>
                <xsd:element ref="ns2:lcf76f155ced4ddcb4097134ff3c332f" minOccurs="0"/>
                <xsd:element ref="ns2:_x0031_"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2fc371-17c2-4317-8537-9f413ceda1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42ed2143-3533-41f8-9594-5a94d96ca5e4" ma:termSetId="09814cd3-568e-fe90-9814-8d621ff8fb84" ma:anchorId="fba54fb3-c3e1-fe81-a776-ca4b69148c4d" ma:open="true" ma:isKeyword="false">
      <xsd:complexType>
        <xsd:sequence>
          <xsd:element ref="pc:Terms" minOccurs="0" maxOccurs="1"/>
        </xsd:sequence>
      </xsd:complexType>
    </xsd:element>
    <xsd:element name="_x0031_" ma:index="19" nillable="true" ma:displayName="1" ma:format="Dropdown" ma:internalName="_x0031_" ma:percentage="FALSE">
      <xsd:simpleType>
        <xsd:restriction base="dms:Number"/>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2de6a-5e62-4798-834b-a53af5a1935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428b086-a7a6-429d-a49a-700c38555961}" ma:internalName="TaxCatchAll" ma:showField="CatchAllData" ma:web="260e6626-730a-4672-976e-b4e1a22745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5913CD-2383-4FAA-9DFB-B0A343AC5DED}">
  <ds:schemaRefs>
    <ds:schemaRef ds:uri="http://schemas.openxmlformats.org/officeDocument/2006/bibliography"/>
  </ds:schemaRefs>
</ds:datastoreItem>
</file>

<file path=customXml/itemProps2.xml><?xml version="1.0" encoding="utf-8"?>
<ds:datastoreItem xmlns:ds="http://schemas.openxmlformats.org/officeDocument/2006/customXml" ds:itemID="{2FB90A70-87EA-4A5F-9EDD-DC1E03C92AF6}"/>
</file>

<file path=customXml/itemProps3.xml><?xml version="1.0" encoding="utf-8"?>
<ds:datastoreItem xmlns:ds="http://schemas.openxmlformats.org/officeDocument/2006/customXml" ds:itemID="{E551FF73-B303-4AAE-8BB9-F5FCC0AFD9D6}"/>
</file>

<file path=docProps/app.xml><?xml version="1.0" encoding="utf-8"?>
<Properties xmlns="http://schemas.openxmlformats.org/officeDocument/2006/extended-properties" xmlns:vt="http://schemas.openxmlformats.org/officeDocument/2006/docPropsVTypes">
  <Template>Normal</Template>
  <TotalTime>0</TotalTime>
  <Pages>11</Pages>
  <Words>5468</Words>
  <Characters>31173</Characters>
  <Application>Microsoft Office Word</Application>
  <DocSecurity>0</DocSecurity>
  <Lines>259</Lines>
  <Paragraphs>73</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36568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Nebuloni</dc:creator>
  <cp:keywords/>
  <dc:description/>
  <cp:lastModifiedBy>Rita Cristina De Ponti</cp:lastModifiedBy>
  <cp:revision>2</cp:revision>
  <dcterms:created xsi:type="dcterms:W3CDTF">2022-01-20T11:43:00Z</dcterms:created>
  <dcterms:modified xsi:type="dcterms:W3CDTF">2022-01-20T11:43:00Z</dcterms:modified>
</cp:coreProperties>
</file>